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7F3F2" w14:textId="77777777" w:rsidR="00D23B9C" w:rsidRDefault="00D23B9C" w:rsidP="00545B7C">
      <w:pPr>
        <w:spacing w:after="0" w:line="240" w:lineRule="auto"/>
        <w:rPr>
          <w:rFonts w:ascii="Cambria" w:eastAsia="SimSun" w:hAnsi="Cambria" w:cs="Arial"/>
          <w:sz w:val="24"/>
          <w:szCs w:val="24"/>
          <w:lang w:val="en-US"/>
        </w:rPr>
      </w:pPr>
    </w:p>
    <w:p w14:paraId="0855BC61" w14:textId="369C871B" w:rsidR="00545B7C" w:rsidRPr="00545B7C" w:rsidRDefault="00545B7C" w:rsidP="00545B7C">
      <w:pPr>
        <w:spacing w:after="0" w:line="240" w:lineRule="auto"/>
        <w:rPr>
          <w:rFonts w:ascii="Cambria" w:eastAsia="SimSun" w:hAnsi="Cambria" w:cs="Arial"/>
          <w:sz w:val="24"/>
          <w:szCs w:val="24"/>
          <w:lang w:val="en-US"/>
        </w:rPr>
      </w:pPr>
      <w:r w:rsidRPr="00545B7C">
        <w:rPr>
          <w:rFonts w:ascii="Cambria" w:eastAsia="SimSun" w:hAnsi="Cambria" w:cs="Arial"/>
          <w:sz w:val="24"/>
          <w:szCs w:val="24"/>
          <w:lang w:val="en-US"/>
        </w:rPr>
        <w:tab/>
      </w:r>
      <w:r w:rsidRPr="00545B7C">
        <w:rPr>
          <w:rFonts w:ascii="Cambria" w:eastAsia="SimSun" w:hAnsi="Cambria" w:cs="Arial"/>
          <w:sz w:val="24"/>
          <w:szCs w:val="24"/>
          <w:lang w:val="en-US"/>
        </w:rPr>
        <w:tab/>
      </w:r>
    </w:p>
    <w:p w14:paraId="5C287D06" w14:textId="77777777" w:rsidR="00545B7C" w:rsidRPr="00545B7C" w:rsidRDefault="00545B7C" w:rsidP="00545B7C">
      <w:pPr>
        <w:spacing w:after="0" w:line="240" w:lineRule="auto"/>
        <w:rPr>
          <w:rFonts w:ascii="Cambria" w:eastAsia="SimSun" w:hAnsi="Cambria" w:cs="Arial"/>
          <w:sz w:val="24"/>
          <w:szCs w:val="24"/>
          <w:lang w:val="en-US"/>
        </w:rPr>
      </w:pPr>
    </w:p>
    <w:p w14:paraId="18513A54" w14:textId="77777777" w:rsidR="00545B7C" w:rsidRPr="00545B7C" w:rsidRDefault="00545B7C" w:rsidP="00545B7C">
      <w:pPr>
        <w:spacing w:after="0" w:line="240" w:lineRule="auto"/>
        <w:rPr>
          <w:rFonts w:ascii="Cambria" w:eastAsia="SimSun" w:hAnsi="Cambria" w:cs="Arial"/>
          <w:sz w:val="16"/>
          <w:szCs w:val="16"/>
          <w:lang w:val="en-US"/>
        </w:rPr>
      </w:pPr>
      <w:r w:rsidRPr="00545B7C">
        <w:rPr>
          <w:rFonts w:ascii="Cambria" w:eastAsia="SimSun" w:hAnsi="Cambria" w:cs="Arial"/>
          <w:sz w:val="24"/>
          <w:szCs w:val="24"/>
          <w:lang w:val="en-US"/>
        </w:rPr>
        <w:tab/>
      </w:r>
      <w:r w:rsidRPr="00545B7C">
        <w:rPr>
          <w:rFonts w:ascii="Cambria" w:eastAsia="SimSun" w:hAnsi="Cambria" w:cs="Arial"/>
          <w:sz w:val="24"/>
          <w:szCs w:val="24"/>
          <w:lang w:val="en-US"/>
        </w:rPr>
        <w:tab/>
      </w:r>
    </w:p>
    <w:p w14:paraId="7F37789C" w14:textId="77777777" w:rsidR="00545B7C" w:rsidRPr="00545B7C" w:rsidRDefault="00545B7C" w:rsidP="00545B7C">
      <w:pPr>
        <w:spacing w:after="0" w:line="240" w:lineRule="auto"/>
        <w:rPr>
          <w:rFonts w:ascii="Cambria" w:eastAsia="SimSun" w:hAnsi="Cambria" w:cs="Arial"/>
          <w:sz w:val="24"/>
          <w:szCs w:val="24"/>
          <w:lang w:val="en-US"/>
        </w:rPr>
      </w:pPr>
    </w:p>
    <w:p w14:paraId="0E1AFF8C" w14:textId="77777777" w:rsidR="00545B7C" w:rsidRPr="00545B7C" w:rsidRDefault="00545B7C" w:rsidP="00545B7C">
      <w:pPr>
        <w:spacing w:after="0" w:line="240" w:lineRule="auto"/>
        <w:rPr>
          <w:rFonts w:ascii="Cambria" w:eastAsia="SimSun" w:hAnsi="Cambria" w:cs="Arial"/>
          <w:sz w:val="24"/>
          <w:szCs w:val="24"/>
          <w:lang w:val="en-US"/>
        </w:rPr>
      </w:pPr>
    </w:p>
    <w:p w14:paraId="3CCA4F8A" w14:textId="77777777" w:rsidR="00545B7C" w:rsidRPr="00545B7C" w:rsidRDefault="00545B7C" w:rsidP="00545B7C">
      <w:pPr>
        <w:spacing w:after="0" w:line="240" w:lineRule="auto"/>
        <w:rPr>
          <w:rFonts w:ascii="Cambria" w:eastAsia="SimSun" w:hAnsi="Cambria" w:cs="Arial"/>
          <w:sz w:val="24"/>
          <w:szCs w:val="24"/>
          <w:lang w:val="en-US"/>
        </w:rPr>
      </w:pPr>
    </w:p>
    <w:p w14:paraId="385A2505" w14:textId="77777777" w:rsidR="00545B7C" w:rsidRPr="00545B7C" w:rsidRDefault="00545B7C" w:rsidP="00545B7C">
      <w:pPr>
        <w:spacing w:after="0" w:line="240" w:lineRule="auto"/>
        <w:rPr>
          <w:rFonts w:ascii="Cambria" w:eastAsia="SimSun" w:hAnsi="Cambria" w:cs="Arial"/>
          <w:sz w:val="24"/>
          <w:szCs w:val="24"/>
          <w:lang w:eastAsia="zh-CN"/>
        </w:rPr>
      </w:pPr>
    </w:p>
    <w:p w14:paraId="754AFA05" w14:textId="77777777" w:rsidR="00545B7C" w:rsidRPr="00545B7C" w:rsidRDefault="00545B7C" w:rsidP="00545B7C">
      <w:pPr>
        <w:spacing w:after="0" w:line="240" w:lineRule="auto"/>
        <w:rPr>
          <w:rFonts w:ascii="Cambria" w:eastAsia="SimSun" w:hAnsi="Cambria" w:cs="Arial"/>
          <w:sz w:val="24"/>
          <w:szCs w:val="24"/>
          <w:lang w:eastAsia="zh-CN"/>
        </w:rPr>
      </w:pPr>
    </w:p>
    <w:p w14:paraId="58667D6A" w14:textId="77777777" w:rsidR="00545B7C" w:rsidRPr="00545B7C" w:rsidRDefault="00545B7C" w:rsidP="00545B7C">
      <w:pPr>
        <w:spacing w:after="0" w:line="240" w:lineRule="auto"/>
        <w:rPr>
          <w:rFonts w:eastAsia="SimSun" w:cstheme="minorHAnsi"/>
          <w:sz w:val="24"/>
          <w:szCs w:val="24"/>
          <w:lang w:eastAsia="zh-CN"/>
        </w:rPr>
      </w:pPr>
    </w:p>
    <w:p w14:paraId="6EE61F0D" w14:textId="77777777" w:rsidR="00545B7C" w:rsidRPr="00545B7C" w:rsidRDefault="00545B7C" w:rsidP="00545B7C">
      <w:pPr>
        <w:spacing w:after="0" w:line="240" w:lineRule="auto"/>
        <w:rPr>
          <w:rFonts w:eastAsia="SimSun" w:cstheme="minorHAnsi"/>
          <w:sz w:val="24"/>
          <w:szCs w:val="24"/>
          <w:lang w:eastAsia="zh-CN"/>
        </w:rPr>
      </w:pPr>
    </w:p>
    <w:p w14:paraId="0D4223DF" w14:textId="59434411" w:rsidR="00545B7C" w:rsidRPr="00E75C8B" w:rsidRDefault="00545B7C" w:rsidP="00545B7C">
      <w:pPr>
        <w:spacing w:after="0" w:line="240" w:lineRule="auto"/>
        <w:contextualSpacing/>
        <w:rPr>
          <w:rFonts w:eastAsia="SimSun" w:cstheme="minorHAnsi"/>
          <w:b/>
          <w:bCs/>
          <w:color w:val="660066"/>
          <w:spacing w:val="-10"/>
          <w:kern w:val="28"/>
          <w:sz w:val="44"/>
          <w:szCs w:val="72"/>
          <w:lang w:eastAsia="zh-CN"/>
        </w:rPr>
      </w:pPr>
      <w:r w:rsidRPr="00E75C8B">
        <w:rPr>
          <w:rFonts w:eastAsia="SimSun" w:cstheme="minorHAnsi"/>
          <w:b/>
          <w:bCs/>
          <w:color w:val="660066"/>
          <w:spacing w:val="-10"/>
          <w:kern w:val="28"/>
          <w:sz w:val="44"/>
          <w:szCs w:val="72"/>
          <w:lang w:eastAsia="zh-CN"/>
        </w:rPr>
        <w:t>Local indicators of child poverty after housing costs, 2018/19</w:t>
      </w:r>
    </w:p>
    <w:p w14:paraId="3D66D616" w14:textId="77777777" w:rsidR="00545B7C" w:rsidRPr="00545B7C" w:rsidRDefault="00545B7C" w:rsidP="00545B7C">
      <w:pPr>
        <w:spacing w:after="0" w:line="240" w:lineRule="auto"/>
        <w:rPr>
          <w:rFonts w:eastAsia="SimSun" w:cstheme="minorHAnsi"/>
          <w:sz w:val="24"/>
          <w:szCs w:val="24"/>
          <w:lang w:eastAsia="zh-CN"/>
        </w:rPr>
      </w:pPr>
    </w:p>
    <w:p w14:paraId="2D2FED0D" w14:textId="2817D56A" w:rsidR="00545B7C" w:rsidRPr="00545B7C" w:rsidRDefault="00545B7C" w:rsidP="00545B7C">
      <w:pPr>
        <w:numPr>
          <w:ilvl w:val="1"/>
          <w:numId w:val="0"/>
        </w:numPr>
        <w:spacing w:line="240" w:lineRule="auto"/>
        <w:rPr>
          <w:rFonts w:eastAsia="SimSun" w:cstheme="minorHAnsi"/>
          <w:color w:val="5A5A5A"/>
          <w:spacing w:val="15"/>
          <w:sz w:val="28"/>
          <w:szCs w:val="28"/>
          <w:lang w:eastAsia="zh-CN"/>
        </w:rPr>
      </w:pPr>
      <w:r w:rsidRPr="00545B7C">
        <w:rPr>
          <w:rFonts w:eastAsia="SimSun" w:cstheme="minorHAnsi"/>
          <w:color w:val="5A5A5A"/>
          <w:spacing w:val="15"/>
          <w:sz w:val="28"/>
          <w:szCs w:val="28"/>
          <w:lang w:eastAsia="zh-CN"/>
        </w:rPr>
        <w:t xml:space="preserve">Summary of estimates of child poverty </w:t>
      </w:r>
      <w:r w:rsidRPr="00FD1025">
        <w:rPr>
          <w:rFonts w:eastAsia="SimSun" w:cstheme="minorHAnsi"/>
          <w:color w:val="5A5A5A"/>
          <w:spacing w:val="15"/>
          <w:sz w:val="28"/>
          <w:szCs w:val="28"/>
          <w:lang w:eastAsia="zh-CN"/>
        </w:rPr>
        <w:t xml:space="preserve">after housing costs </w:t>
      </w:r>
      <w:r w:rsidRPr="00545B7C">
        <w:rPr>
          <w:rFonts w:eastAsia="SimSun" w:cstheme="minorHAnsi"/>
          <w:color w:val="5A5A5A"/>
          <w:spacing w:val="15"/>
          <w:sz w:val="28"/>
          <w:szCs w:val="28"/>
          <w:lang w:eastAsia="zh-CN"/>
        </w:rPr>
        <w:t xml:space="preserve">in </w:t>
      </w:r>
      <w:r w:rsidRPr="00FD1025">
        <w:rPr>
          <w:rFonts w:eastAsia="SimSun" w:cstheme="minorHAnsi"/>
          <w:color w:val="5A5A5A"/>
          <w:spacing w:val="15"/>
          <w:sz w:val="28"/>
          <w:szCs w:val="28"/>
          <w:lang w:eastAsia="zh-CN"/>
        </w:rPr>
        <w:t>local authorities and parliamentary constituencies</w:t>
      </w:r>
      <w:r w:rsidRPr="00545B7C">
        <w:rPr>
          <w:rFonts w:eastAsia="SimSun" w:cstheme="minorHAnsi"/>
          <w:color w:val="5A5A5A"/>
          <w:spacing w:val="15"/>
          <w:sz w:val="28"/>
          <w:szCs w:val="28"/>
          <w:lang w:eastAsia="zh-CN"/>
        </w:rPr>
        <w:t xml:space="preserve">, </w:t>
      </w:r>
      <w:r w:rsidRPr="00FD1025">
        <w:rPr>
          <w:rFonts w:eastAsia="SimSun" w:cstheme="minorHAnsi"/>
          <w:color w:val="5A5A5A"/>
          <w:spacing w:val="15"/>
          <w:sz w:val="28"/>
          <w:szCs w:val="28"/>
          <w:lang w:eastAsia="zh-CN"/>
        </w:rPr>
        <w:t>2014</w:t>
      </w:r>
      <w:r w:rsidRPr="00545B7C">
        <w:rPr>
          <w:rFonts w:eastAsia="SimSun" w:cstheme="minorHAnsi"/>
          <w:color w:val="5A5A5A"/>
          <w:spacing w:val="15"/>
          <w:sz w:val="28"/>
          <w:szCs w:val="28"/>
          <w:lang w:eastAsia="zh-CN"/>
        </w:rPr>
        <w:t>/1</w:t>
      </w:r>
      <w:r w:rsidRPr="00FD1025">
        <w:rPr>
          <w:rFonts w:eastAsia="SimSun" w:cstheme="minorHAnsi"/>
          <w:color w:val="5A5A5A"/>
          <w:spacing w:val="15"/>
          <w:sz w:val="28"/>
          <w:szCs w:val="28"/>
          <w:lang w:eastAsia="zh-CN"/>
        </w:rPr>
        <w:t>5 – 2018/19</w:t>
      </w:r>
    </w:p>
    <w:p w14:paraId="22A5C425" w14:textId="77777777" w:rsidR="00545B7C" w:rsidRPr="00545B7C" w:rsidRDefault="00545B7C" w:rsidP="00545B7C">
      <w:pPr>
        <w:numPr>
          <w:ilvl w:val="1"/>
          <w:numId w:val="0"/>
        </w:numPr>
        <w:spacing w:line="240" w:lineRule="auto"/>
        <w:rPr>
          <w:rFonts w:eastAsia="SimSun" w:cstheme="minorHAnsi"/>
          <w:color w:val="5A5A5A"/>
          <w:spacing w:val="15"/>
          <w:lang w:eastAsia="zh-CN"/>
        </w:rPr>
      </w:pPr>
    </w:p>
    <w:p w14:paraId="4C6290AA" w14:textId="4A862AD9" w:rsidR="00545B7C" w:rsidRPr="00545B7C" w:rsidRDefault="00545B7C" w:rsidP="00545B7C">
      <w:pPr>
        <w:numPr>
          <w:ilvl w:val="1"/>
          <w:numId w:val="0"/>
        </w:numPr>
        <w:spacing w:line="240" w:lineRule="auto"/>
        <w:rPr>
          <w:rFonts w:eastAsia="SimSun" w:cstheme="minorHAnsi"/>
          <w:color w:val="5A5A5A"/>
          <w:spacing w:val="15"/>
          <w:sz w:val="28"/>
          <w:szCs w:val="28"/>
          <w:lang w:eastAsia="zh-CN"/>
        </w:rPr>
      </w:pPr>
      <w:r w:rsidRPr="00545B7C">
        <w:rPr>
          <w:rFonts w:eastAsia="SimSun" w:cstheme="minorHAnsi"/>
          <w:color w:val="5A5A5A"/>
          <w:spacing w:val="15"/>
          <w:sz w:val="28"/>
          <w:szCs w:val="28"/>
          <w:lang w:eastAsia="zh-CN"/>
        </w:rPr>
        <w:t>Donald Hirsch</w:t>
      </w:r>
      <w:r w:rsidRPr="00FD1025">
        <w:rPr>
          <w:rFonts w:eastAsia="SimSun" w:cstheme="minorHAnsi"/>
          <w:color w:val="5A5A5A"/>
          <w:spacing w:val="15"/>
          <w:sz w:val="28"/>
          <w:szCs w:val="28"/>
          <w:lang w:eastAsia="zh-CN"/>
        </w:rPr>
        <w:t xml:space="preserve"> and Juliet Stone </w:t>
      </w:r>
    </w:p>
    <w:p w14:paraId="7C549FB2" w14:textId="77777777" w:rsidR="00545B7C" w:rsidRPr="00545B7C" w:rsidRDefault="00545B7C" w:rsidP="00545B7C">
      <w:pPr>
        <w:numPr>
          <w:ilvl w:val="1"/>
          <w:numId w:val="0"/>
        </w:numPr>
        <w:spacing w:line="240" w:lineRule="auto"/>
        <w:rPr>
          <w:rFonts w:eastAsia="SimSun" w:cstheme="minorHAnsi"/>
          <w:color w:val="5A5A5A"/>
          <w:spacing w:val="15"/>
          <w:lang w:eastAsia="zh-CN"/>
        </w:rPr>
      </w:pPr>
    </w:p>
    <w:p w14:paraId="557F7CFA" w14:textId="77777777" w:rsidR="00545B7C" w:rsidRPr="00545B7C" w:rsidRDefault="00545B7C" w:rsidP="00545B7C">
      <w:pPr>
        <w:spacing w:after="0" w:line="240" w:lineRule="auto"/>
        <w:rPr>
          <w:rFonts w:eastAsia="SimSun" w:cstheme="minorHAnsi"/>
          <w:sz w:val="24"/>
          <w:szCs w:val="24"/>
          <w:lang w:val="en-US"/>
        </w:rPr>
      </w:pPr>
    </w:p>
    <w:p w14:paraId="16EA72D7" w14:textId="77777777" w:rsidR="00545B7C" w:rsidRPr="00545B7C" w:rsidRDefault="00545B7C" w:rsidP="00545B7C">
      <w:pPr>
        <w:spacing w:after="0" w:line="240" w:lineRule="auto"/>
        <w:rPr>
          <w:rFonts w:eastAsia="SimSun" w:cstheme="minorHAnsi"/>
          <w:sz w:val="24"/>
          <w:szCs w:val="24"/>
          <w:lang w:val="en-US"/>
        </w:rPr>
      </w:pPr>
    </w:p>
    <w:p w14:paraId="4AC18234" w14:textId="77777777" w:rsidR="00545B7C" w:rsidRPr="00545B7C" w:rsidRDefault="00545B7C" w:rsidP="00545B7C">
      <w:pPr>
        <w:spacing w:after="0" w:line="240" w:lineRule="auto"/>
        <w:rPr>
          <w:rFonts w:eastAsia="SimSun" w:cstheme="minorHAnsi"/>
          <w:sz w:val="24"/>
          <w:szCs w:val="24"/>
          <w:lang w:val="en-US"/>
        </w:rPr>
      </w:pPr>
    </w:p>
    <w:p w14:paraId="7CACCEEB" w14:textId="77777777" w:rsidR="00545B7C" w:rsidRPr="00545B7C" w:rsidRDefault="00545B7C" w:rsidP="00545B7C">
      <w:pPr>
        <w:spacing w:after="0" w:line="240" w:lineRule="auto"/>
        <w:rPr>
          <w:rFonts w:eastAsia="SimSun" w:cstheme="minorHAnsi"/>
          <w:sz w:val="24"/>
          <w:szCs w:val="24"/>
          <w:lang w:val="en-US"/>
        </w:rPr>
      </w:pPr>
    </w:p>
    <w:p w14:paraId="0C8AF8E6" w14:textId="77777777" w:rsidR="00545B7C" w:rsidRPr="00545B7C" w:rsidRDefault="00545B7C" w:rsidP="00545B7C">
      <w:pPr>
        <w:spacing w:after="0" w:line="240" w:lineRule="auto"/>
        <w:rPr>
          <w:rFonts w:eastAsia="SimSun" w:cstheme="minorHAnsi"/>
          <w:sz w:val="24"/>
          <w:szCs w:val="24"/>
          <w:lang w:val="en-US"/>
        </w:rPr>
      </w:pPr>
    </w:p>
    <w:p w14:paraId="4A7B35D8" w14:textId="77777777" w:rsidR="00545B7C" w:rsidRPr="00545B7C" w:rsidRDefault="00545B7C" w:rsidP="00545B7C">
      <w:pPr>
        <w:spacing w:after="0" w:line="240" w:lineRule="auto"/>
        <w:rPr>
          <w:rFonts w:eastAsia="SimSun" w:cstheme="minorHAnsi"/>
          <w:sz w:val="24"/>
          <w:szCs w:val="24"/>
          <w:lang w:val="en-US"/>
        </w:rPr>
      </w:pPr>
    </w:p>
    <w:p w14:paraId="73CD7256" w14:textId="77777777" w:rsidR="00545B7C" w:rsidRPr="00545B7C" w:rsidRDefault="00545B7C" w:rsidP="00545B7C">
      <w:pPr>
        <w:spacing w:after="0" w:line="240" w:lineRule="auto"/>
        <w:rPr>
          <w:rFonts w:eastAsia="SimSun" w:cstheme="minorHAnsi"/>
          <w:sz w:val="24"/>
          <w:szCs w:val="24"/>
          <w:lang w:val="en-US"/>
        </w:rPr>
      </w:pPr>
    </w:p>
    <w:p w14:paraId="2BA84966" w14:textId="77777777" w:rsidR="00545B7C" w:rsidRPr="00545B7C" w:rsidRDefault="00545B7C" w:rsidP="00545B7C">
      <w:pPr>
        <w:spacing w:after="0" w:line="240" w:lineRule="auto"/>
        <w:rPr>
          <w:rFonts w:eastAsia="SimSun" w:cstheme="minorHAnsi"/>
          <w:sz w:val="24"/>
          <w:szCs w:val="24"/>
          <w:lang w:val="en-US"/>
        </w:rPr>
      </w:pPr>
    </w:p>
    <w:p w14:paraId="7214A724" w14:textId="77777777" w:rsidR="00545B7C" w:rsidRPr="00545B7C" w:rsidRDefault="00545B7C" w:rsidP="00545B7C">
      <w:pPr>
        <w:spacing w:after="0" w:line="240" w:lineRule="auto"/>
        <w:rPr>
          <w:rFonts w:eastAsia="SimSun" w:cstheme="minorHAnsi"/>
          <w:sz w:val="24"/>
          <w:szCs w:val="24"/>
          <w:lang w:val="en-US"/>
        </w:rPr>
      </w:pPr>
    </w:p>
    <w:p w14:paraId="1D5D0F29" w14:textId="77777777" w:rsidR="00545B7C" w:rsidRPr="00545B7C" w:rsidRDefault="00545B7C" w:rsidP="00545B7C">
      <w:pPr>
        <w:spacing w:after="0" w:line="240" w:lineRule="auto"/>
        <w:rPr>
          <w:rFonts w:eastAsia="SimSun" w:cstheme="minorHAnsi"/>
          <w:sz w:val="24"/>
          <w:szCs w:val="24"/>
          <w:lang w:val="en-US"/>
        </w:rPr>
      </w:pPr>
    </w:p>
    <w:p w14:paraId="161B4DC5" w14:textId="77777777" w:rsidR="00545B7C" w:rsidRPr="00545B7C" w:rsidRDefault="00545B7C" w:rsidP="00545B7C">
      <w:pPr>
        <w:spacing w:after="0" w:line="240" w:lineRule="auto"/>
        <w:rPr>
          <w:rFonts w:eastAsia="SimSun" w:cstheme="minorHAnsi"/>
          <w:sz w:val="24"/>
          <w:szCs w:val="24"/>
          <w:lang w:val="en-US"/>
        </w:rPr>
      </w:pPr>
    </w:p>
    <w:p w14:paraId="3083490C" w14:textId="77777777" w:rsidR="00545B7C" w:rsidRPr="00545B7C" w:rsidRDefault="00545B7C" w:rsidP="00545B7C">
      <w:pPr>
        <w:spacing w:after="0" w:line="240" w:lineRule="auto"/>
        <w:rPr>
          <w:rFonts w:eastAsia="SimSun" w:cstheme="minorHAnsi"/>
          <w:sz w:val="24"/>
          <w:szCs w:val="24"/>
          <w:lang w:val="en-US"/>
        </w:rPr>
      </w:pPr>
    </w:p>
    <w:p w14:paraId="379619F7" w14:textId="77777777" w:rsidR="00545B7C" w:rsidRPr="00545B7C" w:rsidRDefault="00545B7C" w:rsidP="00545B7C">
      <w:pPr>
        <w:spacing w:after="0" w:line="240" w:lineRule="auto"/>
        <w:rPr>
          <w:rFonts w:eastAsia="SimSun" w:cstheme="minorHAnsi"/>
          <w:sz w:val="24"/>
          <w:szCs w:val="24"/>
          <w:lang w:val="en-US"/>
        </w:rPr>
      </w:pPr>
    </w:p>
    <w:p w14:paraId="146EF2F2" w14:textId="77777777" w:rsidR="00545B7C" w:rsidRPr="00545B7C" w:rsidRDefault="00545B7C" w:rsidP="00545B7C">
      <w:pPr>
        <w:spacing w:after="0" w:line="240" w:lineRule="auto"/>
        <w:rPr>
          <w:rFonts w:eastAsia="SimSun" w:cstheme="minorHAnsi"/>
          <w:sz w:val="24"/>
          <w:szCs w:val="24"/>
          <w:lang w:val="en-US"/>
        </w:rPr>
      </w:pPr>
    </w:p>
    <w:p w14:paraId="7F6AFC10" w14:textId="77777777" w:rsidR="00545B7C" w:rsidRPr="00545B7C" w:rsidRDefault="00545B7C" w:rsidP="00545B7C">
      <w:pPr>
        <w:spacing w:after="0" w:line="240" w:lineRule="auto"/>
        <w:rPr>
          <w:rFonts w:eastAsia="SimSun" w:cstheme="minorHAnsi"/>
          <w:sz w:val="24"/>
          <w:szCs w:val="24"/>
          <w:lang w:val="en-US"/>
        </w:rPr>
      </w:pPr>
    </w:p>
    <w:p w14:paraId="4654DCF6" w14:textId="77777777" w:rsidR="00545B7C" w:rsidRPr="00545B7C" w:rsidRDefault="00545B7C" w:rsidP="00545B7C">
      <w:pPr>
        <w:spacing w:after="0" w:line="240" w:lineRule="auto"/>
        <w:rPr>
          <w:rFonts w:eastAsia="SimSun" w:cstheme="minorHAnsi"/>
          <w:sz w:val="24"/>
          <w:szCs w:val="24"/>
          <w:lang w:val="en-US"/>
        </w:rPr>
      </w:pPr>
    </w:p>
    <w:p w14:paraId="40AD999E" w14:textId="77777777" w:rsidR="00545B7C" w:rsidRPr="00545B7C" w:rsidRDefault="00545B7C" w:rsidP="00545B7C">
      <w:pPr>
        <w:spacing w:after="0" w:line="240" w:lineRule="auto"/>
        <w:rPr>
          <w:rFonts w:eastAsia="SimSun" w:cstheme="minorHAnsi"/>
          <w:sz w:val="24"/>
          <w:szCs w:val="24"/>
          <w:lang w:val="en-US"/>
        </w:rPr>
      </w:pPr>
    </w:p>
    <w:p w14:paraId="5EEB0A7A" w14:textId="77777777" w:rsidR="00545B7C" w:rsidRPr="00545B7C" w:rsidRDefault="00545B7C" w:rsidP="00545B7C">
      <w:pPr>
        <w:spacing w:after="0" w:line="240" w:lineRule="auto"/>
        <w:rPr>
          <w:rFonts w:eastAsia="SimSun" w:cstheme="minorHAnsi"/>
          <w:sz w:val="24"/>
          <w:szCs w:val="24"/>
          <w:lang w:val="en-US"/>
        </w:rPr>
      </w:pPr>
    </w:p>
    <w:p w14:paraId="79FDE07B" w14:textId="77777777" w:rsidR="00545B7C" w:rsidRPr="00545B7C" w:rsidRDefault="00545B7C" w:rsidP="00545B7C">
      <w:pPr>
        <w:spacing w:after="0" w:line="240" w:lineRule="auto"/>
        <w:rPr>
          <w:rFonts w:eastAsia="SimSun" w:cstheme="minorHAnsi"/>
          <w:sz w:val="24"/>
          <w:szCs w:val="24"/>
          <w:lang w:val="en-US"/>
        </w:rPr>
      </w:pPr>
    </w:p>
    <w:p w14:paraId="1B99B9AF" w14:textId="77777777" w:rsidR="00545B7C" w:rsidRPr="00545B7C" w:rsidRDefault="00545B7C" w:rsidP="00545B7C">
      <w:pPr>
        <w:spacing w:after="0" w:line="240" w:lineRule="auto"/>
        <w:rPr>
          <w:rFonts w:eastAsia="SimSun" w:cstheme="minorHAnsi"/>
          <w:sz w:val="24"/>
          <w:szCs w:val="24"/>
          <w:lang w:val="en-US"/>
        </w:rPr>
      </w:pPr>
    </w:p>
    <w:p w14:paraId="737530BC" w14:textId="77777777" w:rsidR="00545B7C" w:rsidRPr="00545B7C" w:rsidRDefault="00545B7C" w:rsidP="00545B7C">
      <w:pPr>
        <w:spacing w:after="0" w:line="240" w:lineRule="auto"/>
        <w:rPr>
          <w:rFonts w:eastAsia="SimSun" w:cstheme="minorHAnsi"/>
          <w:sz w:val="24"/>
          <w:szCs w:val="24"/>
          <w:lang w:val="en-US"/>
        </w:rPr>
      </w:pPr>
    </w:p>
    <w:p w14:paraId="71DB850B" w14:textId="77777777" w:rsidR="00545B7C" w:rsidRPr="00545B7C" w:rsidRDefault="00545B7C" w:rsidP="00545B7C">
      <w:pPr>
        <w:spacing w:after="0" w:line="240" w:lineRule="auto"/>
        <w:jc w:val="right"/>
        <w:rPr>
          <w:rFonts w:eastAsia="SimSun" w:cstheme="minorHAnsi"/>
          <w:sz w:val="24"/>
          <w:szCs w:val="24"/>
          <w:lang w:val="en-US"/>
        </w:rPr>
      </w:pPr>
    </w:p>
    <w:p w14:paraId="0D8BF4CE" w14:textId="77777777" w:rsidR="00545B7C" w:rsidRPr="00545B7C" w:rsidRDefault="00545B7C" w:rsidP="00545B7C">
      <w:pPr>
        <w:spacing w:after="0" w:line="240" w:lineRule="auto"/>
        <w:jc w:val="right"/>
        <w:rPr>
          <w:rFonts w:eastAsia="SimSun" w:cstheme="minorHAnsi"/>
          <w:sz w:val="24"/>
          <w:szCs w:val="24"/>
          <w:lang w:val="en-US"/>
        </w:rPr>
      </w:pPr>
    </w:p>
    <w:p w14:paraId="4D3B3569" w14:textId="77777777" w:rsidR="00545B7C" w:rsidRPr="00545B7C" w:rsidRDefault="00545B7C" w:rsidP="00545B7C">
      <w:pPr>
        <w:spacing w:after="0" w:line="240" w:lineRule="auto"/>
        <w:jc w:val="right"/>
        <w:rPr>
          <w:rFonts w:eastAsia="SimSun" w:cstheme="minorHAnsi"/>
          <w:sz w:val="24"/>
          <w:szCs w:val="24"/>
          <w:lang w:val="en-US"/>
        </w:rPr>
      </w:pPr>
    </w:p>
    <w:p w14:paraId="737CEE49" w14:textId="77777777" w:rsidR="00545B7C" w:rsidRPr="00545B7C" w:rsidRDefault="00545B7C" w:rsidP="00545B7C">
      <w:pPr>
        <w:spacing w:after="0" w:line="240" w:lineRule="auto"/>
        <w:jc w:val="right"/>
        <w:rPr>
          <w:rFonts w:eastAsia="SimSun" w:cstheme="minorHAnsi"/>
          <w:sz w:val="24"/>
          <w:szCs w:val="24"/>
          <w:lang w:val="en-US"/>
        </w:rPr>
      </w:pPr>
    </w:p>
    <w:p w14:paraId="374A703A" w14:textId="77777777" w:rsidR="00E75C8B" w:rsidRDefault="00545B7C" w:rsidP="00545B7C">
      <w:pPr>
        <w:spacing w:after="0" w:line="240" w:lineRule="auto"/>
        <w:jc w:val="right"/>
        <w:rPr>
          <w:rFonts w:eastAsia="SimSun" w:cstheme="minorHAnsi"/>
          <w:sz w:val="24"/>
          <w:szCs w:val="24"/>
          <w:lang w:val="en-US"/>
        </w:rPr>
        <w:sectPr w:rsidR="00E75C8B" w:rsidSect="00FD1025">
          <w:headerReference w:type="default" r:id="rId11"/>
          <w:footerReference w:type="default" r:id="rId12"/>
          <w:headerReference w:type="first" r:id="rId13"/>
          <w:pgSz w:w="11906" w:h="16838"/>
          <w:pgMar w:top="1276" w:right="1440" w:bottom="1440" w:left="1440" w:header="708" w:footer="708" w:gutter="0"/>
          <w:cols w:space="708"/>
          <w:titlePg/>
          <w:docGrid w:linePitch="360"/>
        </w:sectPr>
      </w:pPr>
      <w:r w:rsidRPr="00FD1025">
        <w:rPr>
          <w:rFonts w:eastAsia="SimSun" w:cstheme="minorHAnsi"/>
          <w:sz w:val="24"/>
          <w:szCs w:val="24"/>
          <w:lang w:val="en-US"/>
        </w:rPr>
        <w:lastRenderedPageBreak/>
        <w:t>October</w:t>
      </w:r>
      <w:r w:rsidRPr="00545B7C">
        <w:rPr>
          <w:rFonts w:eastAsia="SimSun" w:cstheme="minorHAnsi"/>
          <w:sz w:val="24"/>
          <w:szCs w:val="24"/>
          <w:lang w:val="en-US"/>
        </w:rPr>
        <w:t xml:space="preserve"> </w:t>
      </w:r>
      <w:r w:rsidRPr="00FD1025">
        <w:rPr>
          <w:rFonts w:eastAsia="SimSun" w:cstheme="minorHAnsi"/>
          <w:sz w:val="24"/>
          <w:szCs w:val="24"/>
          <w:lang w:val="en-US"/>
        </w:rPr>
        <w:t>2020</w:t>
      </w:r>
    </w:p>
    <w:p w14:paraId="7D037917" w14:textId="77777777" w:rsidR="00545B7C" w:rsidRDefault="00545B7C" w:rsidP="00545B7C">
      <w:pPr>
        <w:spacing w:after="0" w:line="240" w:lineRule="auto"/>
        <w:jc w:val="right"/>
        <w:rPr>
          <w:rFonts w:ascii="Cambria" w:eastAsia="SimSun" w:hAnsi="Cambria" w:cs="Arial"/>
          <w:sz w:val="24"/>
          <w:szCs w:val="24"/>
          <w:lang w:val="en-US"/>
        </w:rPr>
      </w:pPr>
    </w:p>
    <w:p w14:paraId="5F19B613" w14:textId="77777777" w:rsidR="00E75C8B" w:rsidRDefault="00E75C8B" w:rsidP="00545B7C">
      <w:pPr>
        <w:spacing w:after="0" w:line="240" w:lineRule="auto"/>
        <w:jc w:val="right"/>
        <w:rPr>
          <w:rFonts w:ascii="Cambria" w:eastAsia="SimSun" w:hAnsi="Cambria" w:cs="Arial"/>
          <w:sz w:val="24"/>
          <w:szCs w:val="24"/>
          <w:lang w:val="en-US"/>
        </w:rPr>
      </w:pPr>
    </w:p>
    <w:p w14:paraId="3BA910A1" w14:textId="77777777" w:rsidR="00E75C8B" w:rsidRDefault="00E75C8B" w:rsidP="00E75C8B">
      <w:pPr>
        <w:spacing w:after="0" w:line="240" w:lineRule="auto"/>
        <w:jc w:val="both"/>
        <w:rPr>
          <w:rFonts w:ascii="Cambria" w:eastAsia="SimSun" w:hAnsi="Cambria" w:cs="Arial"/>
          <w:sz w:val="24"/>
          <w:szCs w:val="24"/>
          <w:lang w:val="en-US"/>
        </w:rPr>
      </w:pPr>
    </w:p>
    <w:p w14:paraId="0A68EA44" w14:textId="77777777" w:rsidR="00E75C8B" w:rsidRDefault="00E75C8B" w:rsidP="00E75C8B">
      <w:pPr>
        <w:spacing w:after="0" w:line="240" w:lineRule="auto"/>
        <w:jc w:val="both"/>
        <w:rPr>
          <w:rFonts w:ascii="Cambria" w:eastAsia="SimSun" w:hAnsi="Cambria" w:cs="Arial"/>
          <w:sz w:val="24"/>
          <w:szCs w:val="24"/>
          <w:lang w:val="en-US"/>
        </w:rPr>
      </w:pPr>
    </w:p>
    <w:p w14:paraId="0D3C1CF5" w14:textId="77777777" w:rsidR="00E75C8B" w:rsidRDefault="00E75C8B" w:rsidP="00E75C8B">
      <w:pPr>
        <w:spacing w:after="0" w:line="240" w:lineRule="auto"/>
        <w:jc w:val="both"/>
        <w:rPr>
          <w:rFonts w:ascii="Cambria" w:eastAsia="SimSun" w:hAnsi="Cambria" w:cs="Arial"/>
          <w:sz w:val="24"/>
          <w:szCs w:val="24"/>
          <w:lang w:val="en-US"/>
        </w:rPr>
      </w:pPr>
    </w:p>
    <w:p w14:paraId="7CF723F8" w14:textId="77777777" w:rsidR="00E75C8B" w:rsidRDefault="00E75C8B" w:rsidP="00E75C8B">
      <w:pPr>
        <w:spacing w:after="0" w:line="240" w:lineRule="auto"/>
        <w:jc w:val="both"/>
        <w:rPr>
          <w:rFonts w:ascii="Cambria" w:eastAsia="SimSun" w:hAnsi="Cambria" w:cs="Arial"/>
          <w:sz w:val="24"/>
          <w:szCs w:val="24"/>
          <w:lang w:val="en-US"/>
        </w:rPr>
      </w:pPr>
    </w:p>
    <w:p w14:paraId="1EDC2D72" w14:textId="77777777" w:rsidR="00E75C8B" w:rsidRDefault="00E75C8B" w:rsidP="00E75C8B">
      <w:pPr>
        <w:spacing w:after="0" w:line="240" w:lineRule="auto"/>
        <w:jc w:val="both"/>
        <w:rPr>
          <w:rFonts w:ascii="Cambria" w:eastAsia="SimSun" w:hAnsi="Cambria" w:cs="Arial"/>
          <w:sz w:val="24"/>
          <w:szCs w:val="24"/>
          <w:lang w:val="en-US"/>
        </w:rPr>
      </w:pPr>
    </w:p>
    <w:p w14:paraId="3C4A53AE" w14:textId="77777777" w:rsidR="00E75C8B" w:rsidRDefault="00E75C8B" w:rsidP="00E75C8B">
      <w:pPr>
        <w:spacing w:after="0" w:line="240" w:lineRule="auto"/>
        <w:jc w:val="both"/>
        <w:rPr>
          <w:rFonts w:ascii="Cambria" w:eastAsia="SimSun" w:hAnsi="Cambria" w:cs="Arial"/>
          <w:sz w:val="24"/>
          <w:szCs w:val="24"/>
          <w:lang w:val="en-US"/>
        </w:rPr>
      </w:pPr>
    </w:p>
    <w:sdt>
      <w:sdtPr>
        <w:rPr>
          <w:rFonts w:asciiTheme="minorHAnsi" w:eastAsiaTheme="minorHAnsi" w:hAnsiTheme="minorHAnsi" w:cstheme="minorBidi"/>
          <w:color w:val="auto"/>
          <w:sz w:val="22"/>
          <w:szCs w:val="22"/>
          <w:lang w:val="en-GB"/>
        </w:rPr>
        <w:id w:val="-1431896891"/>
        <w:docPartObj>
          <w:docPartGallery w:val="Table of Contents"/>
          <w:docPartUnique/>
        </w:docPartObj>
      </w:sdtPr>
      <w:sdtEndPr>
        <w:rPr>
          <w:b/>
          <w:bCs/>
          <w:noProof/>
        </w:rPr>
      </w:sdtEndPr>
      <w:sdtContent>
        <w:p w14:paraId="0A791A0C" w14:textId="46C83506" w:rsidR="00E75C8B" w:rsidRDefault="00E75C8B">
          <w:pPr>
            <w:pStyle w:val="TOCHeading"/>
            <w:rPr>
              <w:b/>
              <w:bCs/>
              <w:color w:val="660066"/>
              <w:sz w:val="40"/>
              <w:szCs w:val="40"/>
            </w:rPr>
          </w:pPr>
          <w:r w:rsidRPr="00E75C8B">
            <w:rPr>
              <w:b/>
              <w:bCs/>
              <w:color w:val="660066"/>
              <w:sz w:val="40"/>
              <w:szCs w:val="40"/>
            </w:rPr>
            <w:t>Contents</w:t>
          </w:r>
        </w:p>
        <w:p w14:paraId="09A71028" w14:textId="091F1752" w:rsidR="00E75C8B" w:rsidRDefault="00E75C8B" w:rsidP="00E75C8B">
          <w:pPr>
            <w:rPr>
              <w:lang w:val="en-US"/>
            </w:rPr>
          </w:pPr>
        </w:p>
        <w:p w14:paraId="1E4C766A" w14:textId="6A841C51" w:rsidR="00E75C8B" w:rsidRDefault="00E75C8B">
          <w:pPr>
            <w:pStyle w:val="TOC1"/>
            <w:tabs>
              <w:tab w:val="right" w:leader="dot" w:pos="9016"/>
            </w:tabs>
            <w:rPr>
              <w:rFonts w:eastAsiaTheme="minorEastAsia"/>
              <w:noProof/>
              <w:sz w:val="22"/>
              <w:lang w:eastAsia="en-GB"/>
            </w:rPr>
          </w:pPr>
          <w:r>
            <w:fldChar w:fldCharType="begin"/>
          </w:r>
          <w:r>
            <w:instrText xml:space="preserve"> TOC \o "1-3" \h \z \u </w:instrText>
          </w:r>
          <w:r>
            <w:fldChar w:fldCharType="separate"/>
          </w:r>
          <w:hyperlink w:anchor="_Toc52547176" w:history="1">
            <w:r w:rsidRPr="00DE4A90">
              <w:rPr>
                <w:rStyle w:val="Hyperlink"/>
                <w:noProof/>
              </w:rPr>
              <w:t>1.</w:t>
            </w:r>
            <w:r>
              <w:rPr>
                <w:rFonts w:eastAsiaTheme="minorEastAsia"/>
                <w:noProof/>
                <w:sz w:val="22"/>
                <w:lang w:eastAsia="en-GB"/>
              </w:rPr>
              <w:tab/>
            </w:r>
            <w:r w:rsidRPr="00DE4A90">
              <w:rPr>
                <w:rStyle w:val="Hyperlink"/>
                <w:noProof/>
              </w:rPr>
              <w:t>Introduction</w:t>
            </w:r>
            <w:r>
              <w:rPr>
                <w:noProof/>
                <w:webHidden/>
              </w:rPr>
              <w:tab/>
            </w:r>
            <w:r>
              <w:rPr>
                <w:noProof/>
                <w:webHidden/>
              </w:rPr>
              <w:fldChar w:fldCharType="begin"/>
            </w:r>
            <w:r>
              <w:rPr>
                <w:noProof/>
                <w:webHidden/>
              </w:rPr>
              <w:instrText xml:space="preserve"> PAGEREF _Toc52547176 \h </w:instrText>
            </w:r>
            <w:r>
              <w:rPr>
                <w:noProof/>
                <w:webHidden/>
              </w:rPr>
            </w:r>
            <w:r>
              <w:rPr>
                <w:noProof/>
                <w:webHidden/>
              </w:rPr>
              <w:fldChar w:fldCharType="separate"/>
            </w:r>
            <w:r>
              <w:rPr>
                <w:noProof/>
                <w:webHidden/>
              </w:rPr>
              <w:t>3</w:t>
            </w:r>
            <w:r>
              <w:rPr>
                <w:noProof/>
                <w:webHidden/>
              </w:rPr>
              <w:fldChar w:fldCharType="end"/>
            </w:r>
          </w:hyperlink>
        </w:p>
        <w:p w14:paraId="76678D62" w14:textId="2123503C" w:rsidR="00E75C8B" w:rsidRDefault="006D4F2E">
          <w:pPr>
            <w:pStyle w:val="TOC1"/>
            <w:tabs>
              <w:tab w:val="right" w:leader="dot" w:pos="9016"/>
            </w:tabs>
            <w:rPr>
              <w:rFonts w:eastAsiaTheme="minorEastAsia"/>
              <w:noProof/>
              <w:sz w:val="22"/>
              <w:lang w:eastAsia="en-GB"/>
            </w:rPr>
          </w:pPr>
          <w:hyperlink w:anchor="_Toc52547177" w:history="1">
            <w:r w:rsidR="00E75C8B" w:rsidRPr="00DE4A90">
              <w:rPr>
                <w:rStyle w:val="Hyperlink"/>
                <w:noProof/>
              </w:rPr>
              <w:t>2.</w:t>
            </w:r>
            <w:r w:rsidR="00E75C8B">
              <w:rPr>
                <w:rFonts w:eastAsiaTheme="minorEastAsia"/>
                <w:noProof/>
                <w:sz w:val="22"/>
                <w:lang w:eastAsia="en-GB"/>
              </w:rPr>
              <w:tab/>
            </w:r>
            <w:r w:rsidR="00E75C8B" w:rsidRPr="00DE4A90">
              <w:rPr>
                <w:rStyle w:val="Hyperlink"/>
                <w:noProof/>
              </w:rPr>
              <w:t>Methods</w:t>
            </w:r>
            <w:r w:rsidR="00E75C8B">
              <w:rPr>
                <w:noProof/>
                <w:webHidden/>
              </w:rPr>
              <w:tab/>
            </w:r>
            <w:r w:rsidR="00E75C8B">
              <w:rPr>
                <w:noProof/>
                <w:webHidden/>
              </w:rPr>
              <w:fldChar w:fldCharType="begin"/>
            </w:r>
            <w:r w:rsidR="00E75C8B">
              <w:rPr>
                <w:noProof/>
                <w:webHidden/>
              </w:rPr>
              <w:instrText xml:space="preserve"> PAGEREF _Toc52547177 \h </w:instrText>
            </w:r>
            <w:r w:rsidR="00E75C8B">
              <w:rPr>
                <w:noProof/>
                <w:webHidden/>
              </w:rPr>
            </w:r>
            <w:r w:rsidR="00E75C8B">
              <w:rPr>
                <w:noProof/>
                <w:webHidden/>
              </w:rPr>
              <w:fldChar w:fldCharType="separate"/>
            </w:r>
            <w:r w:rsidR="00E75C8B">
              <w:rPr>
                <w:noProof/>
                <w:webHidden/>
              </w:rPr>
              <w:t>3</w:t>
            </w:r>
            <w:r w:rsidR="00E75C8B">
              <w:rPr>
                <w:noProof/>
                <w:webHidden/>
              </w:rPr>
              <w:fldChar w:fldCharType="end"/>
            </w:r>
          </w:hyperlink>
        </w:p>
        <w:p w14:paraId="7DA7E760" w14:textId="37B289A7" w:rsidR="00E75C8B" w:rsidRDefault="006D4F2E">
          <w:pPr>
            <w:pStyle w:val="TOC1"/>
            <w:tabs>
              <w:tab w:val="right" w:leader="dot" w:pos="9016"/>
            </w:tabs>
            <w:rPr>
              <w:rFonts w:eastAsiaTheme="minorEastAsia"/>
              <w:noProof/>
              <w:sz w:val="22"/>
              <w:lang w:eastAsia="en-GB"/>
            </w:rPr>
          </w:pPr>
          <w:hyperlink w:anchor="_Toc52547178" w:history="1">
            <w:r w:rsidR="00E75C8B" w:rsidRPr="00DE4A90">
              <w:rPr>
                <w:rStyle w:val="Hyperlink"/>
                <w:noProof/>
              </w:rPr>
              <w:t>3.</w:t>
            </w:r>
            <w:r w:rsidR="00E75C8B">
              <w:rPr>
                <w:rFonts w:eastAsiaTheme="minorEastAsia"/>
                <w:noProof/>
                <w:sz w:val="22"/>
                <w:lang w:eastAsia="en-GB"/>
              </w:rPr>
              <w:tab/>
            </w:r>
            <w:r w:rsidR="00E75C8B" w:rsidRPr="00DE4A90">
              <w:rPr>
                <w:rStyle w:val="Hyperlink"/>
                <w:noProof/>
              </w:rPr>
              <w:t>Local authority and parliamentary constituency rates in 2018/19</w:t>
            </w:r>
            <w:r w:rsidR="00E75C8B">
              <w:rPr>
                <w:noProof/>
                <w:webHidden/>
              </w:rPr>
              <w:tab/>
            </w:r>
            <w:r w:rsidR="00E75C8B">
              <w:rPr>
                <w:noProof/>
                <w:webHidden/>
              </w:rPr>
              <w:fldChar w:fldCharType="begin"/>
            </w:r>
            <w:r w:rsidR="00E75C8B">
              <w:rPr>
                <w:noProof/>
                <w:webHidden/>
              </w:rPr>
              <w:instrText xml:space="preserve"> PAGEREF _Toc52547178 \h </w:instrText>
            </w:r>
            <w:r w:rsidR="00E75C8B">
              <w:rPr>
                <w:noProof/>
                <w:webHidden/>
              </w:rPr>
            </w:r>
            <w:r w:rsidR="00E75C8B">
              <w:rPr>
                <w:noProof/>
                <w:webHidden/>
              </w:rPr>
              <w:fldChar w:fldCharType="separate"/>
            </w:r>
            <w:r w:rsidR="00E75C8B">
              <w:rPr>
                <w:noProof/>
                <w:webHidden/>
              </w:rPr>
              <w:t>4</w:t>
            </w:r>
            <w:r w:rsidR="00E75C8B">
              <w:rPr>
                <w:noProof/>
                <w:webHidden/>
              </w:rPr>
              <w:fldChar w:fldCharType="end"/>
            </w:r>
          </w:hyperlink>
        </w:p>
        <w:p w14:paraId="2D645AF7" w14:textId="3854C78D" w:rsidR="00E75C8B" w:rsidRDefault="006D4F2E">
          <w:pPr>
            <w:pStyle w:val="TOC1"/>
            <w:tabs>
              <w:tab w:val="right" w:leader="dot" w:pos="9016"/>
            </w:tabs>
            <w:rPr>
              <w:rFonts w:eastAsiaTheme="minorEastAsia"/>
              <w:noProof/>
              <w:sz w:val="22"/>
              <w:lang w:eastAsia="en-GB"/>
            </w:rPr>
          </w:pPr>
          <w:hyperlink w:anchor="_Toc52547179" w:history="1">
            <w:r w:rsidR="00E75C8B" w:rsidRPr="00DE4A90">
              <w:rPr>
                <w:rStyle w:val="Hyperlink"/>
                <w:noProof/>
              </w:rPr>
              <w:t>4.</w:t>
            </w:r>
            <w:r w:rsidR="00E75C8B">
              <w:rPr>
                <w:rFonts w:eastAsiaTheme="minorEastAsia"/>
                <w:noProof/>
                <w:sz w:val="22"/>
                <w:lang w:eastAsia="en-GB"/>
              </w:rPr>
              <w:tab/>
            </w:r>
            <w:r w:rsidR="00E75C8B" w:rsidRPr="00DE4A90">
              <w:rPr>
                <w:rStyle w:val="Hyperlink"/>
                <w:noProof/>
              </w:rPr>
              <w:t>Change in local child poverty rates between 2014/15 and 2018/19</w:t>
            </w:r>
            <w:r w:rsidR="00E75C8B">
              <w:rPr>
                <w:noProof/>
                <w:webHidden/>
              </w:rPr>
              <w:tab/>
            </w:r>
            <w:r w:rsidR="00E75C8B">
              <w:rPr>
                <w:noProof/>
                <w:webHidden/>
              </w:rPr>
              <w:fldChar w:fldCharType="begin"/>
            </w:r>
            <w:r w:rsidR="00E75C8B">
              <w:rPr>
                <w:noProof/>
                <w:webHidden/>
              </w:rPr>
              <w:instrText xml:space="preserve"> PAGEREF _Toc52547179 \h </w:instrText>
            </w:r>
            <w:r w:rsidR="00E75C8B">
              <w:rPr>
                <w:noProof/>
                <w:webHidden/>
              </w:rPr>
            </w:r>
            <w:r w:rsidR="00E75C8B">
              <w:rPr>
                <w:noProof/>
                <w:webHidden/>
              </w:rPr>
              <w:fldChar w:fldCharType="separate"/>
            </w:r>
            <w:r w:rsidR="00E75C8B">
              <w:rPr>
                <w:noProof/>
                <w:webHidden/>
              </w:rPr>
              <w:t>6</w:t>
            </w:r>
            <w:r w:rsidR="00E75C8B">
              <w:rPr>
                <w:noProof/>
                <w:webHidden/>
              </w:rPr>
              <w:fldChar w:fldCharType="end"/>
            </w:r>
          </w:hyperlink>
        </w:p>
        <w:p w14:paraId="7E0290C4" w14:textId="45DE5379" w:rsidR="00E75C8B" w:rsidRDefault="006D4F2E">
          <w:pPr>
            <w:pStyle w:val="TOC1"/>
            <w:tabs>
              <w:tab w:val="right" w:leader="dot" w:pos="9016"/>
            </w:tabs>
            <w:rPr>
              <w:rFonts w:eastAsiaTheme="minorEastAsia"/>
              <w:noProof/>
              <w:sz w:val="22"/>
              <w:lang w:eastAsia="en-GB"/>
            </w:rPr>
          </w:pPr>
          <w:hyperlink w:anchor="_Toc52547180" w:history="1">
            <w:r w:rsidR="00E75C8B" w:rsidRPr="00DE4A90">
              <w:rPr>
                <w:rStyle w:val="Hyperlink"/>
                <w:noProof/>
              </w:rPr>
              <w:t>5.</w:t>
            </w:r>
            <w:r w:rsidR="00E75C8B">
              <w:rPr>
                <w:rFonts w:eastAsiaTheme="minorEastAsia"/>
                <w:noProof/>
                <w:sz w:val="22"/>
                <w:lang w:eastAsia="en-GB"/>
              </w:rPr>
              <w:tab/>
            </w:r>
            <w:r w:rsidR="00E75C8B" w:rsidRPr="00DE4A90">
              <w:rPr>
                <w:rStyle w:val="Hyperlink"/>
                <w:noProof/>
              </w:rPr>
              <w:t>The effect of housing costs</w:t>
            </w:r>
            <w:r w:rsidR="00E75C8B">
              <w:rPr>
                <w:noProof/>
                <w:webHidden/>
              </w:rPr>
              <w:tab/>
            </w:r>
            <w:r w:rsidR="00E75C8B">
              <w:rPr>
                <w:noProof/>
                <w:webHidden/>
              </w:rPr>
              <w:fldChar w:fldCharType="begin"/>
            </w:r>
            <w:r w:rsidR="00E75C8B">
              <w:rPr>
                <w:noProof/>
                <w:webHidden/>
              </w:rPr>
              <w:instrText xml:space="preserve"> PAGEREF _Toc52547180 \h </w:instrText>
            </w:r>
            <w:r w:rsidR="00E75C8B">
              <w:rPr>
                <w:noProof/>
                <w:webHidden/>
              </w:rPr>
            </w:r>
            <w:r w:rsidR="00E75C8B">
              <w:rPr>
                <w:noProof/>
                <w:webHidden/>
              </w:rPr>
              <w:fldChar w:fldCharType="separate"/>
            </w:r>
            <w:r w:rsidR="00E75C8B">
              <w:rPr>
                <w:noProof/>
                <w:webHidden/>
              </w:rPr>
              <w:t>9</w:t>
            </w:r>
            <w:r w:rsidR="00E75C8B">
              <w:rPr>
                <w:noProof/>
                <w:webHidden/>
              </w:rPr>
              <w:fldChar w:fldCharType="end"/>
            </w:r>
          </w:hyperlink>
        </w:p>
        <w:p w14:paraId="4378A3A4" w14:textId="23A1AB12" w:rsidR="00E75C8B" w:rsidRDefault="006D4F2E">
          <w:pPr>
            <w:pStyle w:val="TOC1"/>
            <w:tabs>
              <w:tab w:val="right" w:leader="dot" w:pos="9016"/>
            </w:tabs>
            <w:rPr>
              <w:rFonts w:eastAsiaTheme="minorEastAsia"/>
              <w:noProof/>
              <w:sz w:val="22"/>
              <w:lang w:eastAsia="en-GB"/>
            </w:rPr>
          </w:pPr>
          <w:hyperlink w:anchor="_Toc52547181" w:history="1">
            <w:r w:rsidR="00E75C8B" w:rsidRPr="00DE4A90">
              <w:rPr>
                <w:rStyle w:val="Hyperlink"/>
                <w:noProof/>
              </w:rPr>
              <w:t>6.</w:t>
            </w:r>
            <w:r w:rsidR="00E75C8B">
              <w:rPr>
                <w:rFonts w:eastAsiaTheme="minorEastAsia"/>
                <w:noProof/>
                <w:sz w:val="22"/>
                <w:lang w:eastAsia="en-GB"/>
              </w:rPr>
              <w:tab/>
            </w:r>
            <w:r w:rsidR="00E75C8B" w:rsidRPr="00DE4A90">
              <w:rPr>
                <w:rStyle w:val="Hyperlink"/>
                <w:noProof/>
              </w:rPr>
              <w:t>Appendix A: Summary of DWP/HMRC method for deriving the new local child poverty indicator</w:t>
            </w:r>
            <w:r w:rsidR="00E75C8B">
              <w:rPr>
                <w:noProof/>
                <w:webHidden/>
              </w:rPr>
              <w:tab/>
            </w:r>
            <w:r w:rsidR="00E75C8B">
              <w:rPr>
                <w:noProof/>
                <w:webHidden/>
              </w:rPr>
              <w:fldChar w:fldCharType="begin"/>
            </w:r>
            <w:r w:rsidR="00E75C8B">
              <w:rPr>
                <w:noProof/>
                <w:webHidden/>
              </w:rPr>
              <w:instrText xml:space="preserve"> PAGEREF _Toc52547181 \h </w:instrText>
            </w:r>
            <w:r w:rsidR="00E75C8B">
              <w:rPr>
                <w:noProof/>
                <w:webHidden/>
              </w:rPr>
            </w:r>
            <w:r w:rsidR="00E75C8B">
              <w:rPr>
                <w:noProof/>
                <w:webHidden/>
              </w:rPr>
              <w:fldChar w:fldCharType="separate"/>
            </w:r>
            <w:r w:rsidR="00E75C8B">
              <w:rPr>
                <w:noProof/>
                <w:webHidden/>
              </w:rPr>
              <w:t>12</w:t>
            </w:r>
            <w:r w:rsidR="00E75C8B">
              <w:rPr>
                <w:noProof/>
                <w:webHidden/>
              </w:rPr>
              <w:fldChar w:fldCharType="end"/>
            </w:r>
          </w:hyperlink>
        </w:p>
        <w:p w14:paraId="062AAEE9" w14:textId="6DF490A8" w:rsidR="00E75C8B" w:rsidRDefault="006D4F2E">
          <w:pPr>
            <w:pStyle w:val="TOC1"/>
            <w:tabs>
              <w:tab w:val="right" w:leader="dot" w:pos="9016"/>
            </w:tabs>
            <w:rPr>
              <w:rFonts w:eastAsiaTheme="minorEastAsia"/>
              <w:noProof/>
              <w:sz w:val="22"/>
              <w:lang w:eastAsia="en-GB"/>
            </w:rPr>
          </w:pPr>
          <w:hyperlink w:anchor="_Toc52547182" w:history="1">
            <w:r w:rsidR="00E75C8B" w:rsidRPr="00DE4A90">
              <w:rPr>
                <w:rStyle w:val="Hyperlink"/>
                <w:noProof/>
              </w:rPr>
              <w:t>7.</w:t>
            </w:r>
            <w:r w:rsidR="00E75C8B">
              <w:rPr>
                <w:rFonts w:eastAsiaTheme="minorEastAsia"/>
                <w:noProof/>
                <w:sz w:val="22"/>
                <w:lang w:eastAsia="en-GB"/>
              </w:rPr>
              <w:tab/>
            </w:r>
            <w:r w:rsidR="00E75C8B" w:rsidRPr="00DE4A90">
              <w:rPr>
                <w:rStyle w:val="Hyperlink"/>
                <w:noProof/>
              </w:rPr>
              <w:t>Appendix B: Method used by Centre for Research in Social Policy adjust DWP/HMRC’s local area data on children in low income families to account for housing costs</w:t>
            </w:r>
            <w:r w:rsidR="00E75C8B">
              <w:rPr>
                <w:noProof/>
                <w:webHidden/>
              </w:rPr>
              <w:tab/>
            </w:r>
            <w:r w:rsidR="00E75C8B">
              <w:rPr>
                <w:noProof/>
                <w:webHidden/>
              </w:rPr>
              <w:fldChar w:fldCharType="begin"/>
            </w:r>
            <w:r w:rsidR="00E75C8B">
              <w:rPr>
                <w:noProof/>
                <w:webHidden/>
              </w:rPr>
              <w:instrText xml:space="preserve"> PAGEREF _Toc52547182 \h </w:instrText>
            </w:r>
            <w:r w:rsidR="00E75C8B">
              <w:rPr>
                <w:noProof/>
                <w:webHidden/>
              </w:rPr>
            </w:r>
            <w:r w:rsidR="00E75C8B">
              <w:rPr>
                <w:noProof/>
                <w:webHidden/>
              </w:rPr>
              <w:fldChar w:fldCharType="separate"/>
            </w:r>
            <w:r w:rsidR="00E75C8B">
              <w:rPr>
                <w:noProof/>
                <w:webHidden/>
              </w:rPr>
              <w:t>13</w:t>
            </w:r>
            <w:r w:rsidR="00E75C8B">
              <w:rPr>
                <w:noProof/>
                <w:webHidden/>
              </w:rPr>
              <w:fldChar w:fldCharType="end"/>
            </w:r>
          </w:hyperlink>
        </w:p>
        <w:p w14:paraId="62E8FE0C" w14:textId="2E84DC70" w:rsidR="00E75C8B" w:rsidRDefault="00E75C8B">
          <w:r>
            <w:rPr>
              <w:sz w:val="24"/>
            </w:rPr>
            <w:fldChar w:fldCharType="end"/>
          </w:r>
        </w:p>
      </w:sdtContent>
    </w:sdt>
    <w:p w14:paraId="1ACE4B00" w14:textId="7FC82542" w:rsidR="00E75C8B" w:rsidRPr="00545B7C" w:rsidRDefault="00E75C8B" w:rsidP="00E75C8B">
      <w:pPr>
        <w:spacing w:after="0" w:line="240" w:lineRule="auto"/>
        <w:jc w:val="both"/>
        <w:rPr>
          <w:rFonts w:ascii="Cambria" w:eastAsia="SimSun" w:hAnsi="Cambria" w:cs="Arial"/>
          <w:sz w:val="24"/>
          <w:szCs w:val="24"/>
          <w:lang w:val="en-US"/>
        </w:rPr>
        <w:sectPr w:rsidR="00E75C8B" w:rsidRPr="00545B7C" w:rsidSect="00FD1025">
          <w:headerReference w:type="first" r:id="rId14"/>
          <w:pgSz w:w="11906" w:h="16838"/>
          <w:pgMar w:top="1276" w:right="1440" w:bottom="1440" w:left="1440" w:header="708" w:footer="708" w:gutter="0"/>
          <w:cols w:space="708"/>
          <w:titlePg/>
          <w:docGrid w:linePitch="360"/>
        </w:sectPr>
      </w:pPr>
    </w:p>
    <w:p w14:paraId="2BC13B1F" w14:textId="0B5A8990" w:rsidR="00545B7C" w:rsidRDefault="00545B7C">
      <w:pPr>
        <w:rPr>
          <w:b/>
          <w:bCs/>
          <w:sz w:val="24"/>
          <w:szCs w:val="24"/>
        </w:rPr>
      </w:pPr>
    </w:p>
    <w:p w14:paraId="72BB2E3D" w14:textId="40014A6A" w:rsidR="005E305C" w:rsidRPr="00165B05" w:rsidRDefault="005E305C" w:rsidP="00BB4C69">
      <w:pPr>
        <w:pStyle w:val="Heading1"/>
      </w:pPr>
      <w:bookmarkStart w:id="0" w:name="_Toc52547003"/>
      <w:bookmarkStart w:id="1" w:name="_Toc52547176"/>
      <w:r w:rsidRPr="00165B05">
        <w:t>Introduction</w:t>
      </w:r>
      <w:bookmarkEnd w:id="0"/>
      <w:bookmarkEnd w:id="1"/>
    </w:p>
    <w:p w14:paraId="1762D738" w14:textId="5EB89287" w:rsidR="00C44973" w:rsidRDefault="00C44973" w:rsidP="00C44973">
      <w:pPr>
        <w:spacing w:after="0" w:line="240" w:lineRule="auto"/>
        <w:rPr>
          <w:sz w:val="24"/>
          <w:szCs w:val="24"/>
        </w:rPr>
      </w:pPr>
    </w:p>
    <w:p w14:paraId="74A01F43" w14:textId="43F36779" w:rsidR="009852FE" w:rsidRDefault="005E305C" w:rsidP="00C44973">
      <w:pPr>
        <w:spacing w:after="0" w:line="240" w:lineRule="auto"/>
        <w:rPr>
          <w:sz w:val="24"/>
          <w:szCs w:val="24"/>
        </w:rPr>
      </w:pPr>
      <w:r w:rsidRPr="00165B05">
        <w:rPr>
          <w:sz w:val="24"/>
          <w:szCs w:val="24"/>
        </w:rPr>
        <w:t xml:space="preserve">In March 2020, the DWP and HMRC produced an important new set of local indicators of child poverty. </w:t>
      </w:r>
      <w:r w:rsidR="009852FE">
        <w:rPr>
          <w:sz w:val="24"/>
          <w:szCs w:val="24"/>
        </w:rPr>
        <w:t xml:space="preserve">These provide the most reliable indicator of local child poverty to </w:t>
      </w:r>
      <w:proofErr w:type="gramStart"/>
      <w:r w:rsidR="009852FE">
        <w:rPr>
          <w:sz w:val="24"/>
          <w:szCs w:val="24"/>
        </w:rPr>
        <w:t>date, but</w:t>
      </w:r>
      <w:proofErr w:type="gramEnd"/>
      <w:r w:rsidR="009852FE">
        <w:rPr>
          <w:sz w:val="24"/>
          <w:szCs w:val="24"/>
        </w:rPr>
        <w:t xml:space="preserve"> have one major limitation. They estimate the percentage of children living in households with below 60% median </w:t>
      </w:r>
      <w:proofErr w:type="gramStart"/>
      <w:r w:rsidR="009852FE">
        <w:rPr>
          <w:sz w:val="24"/>
          <w:szCs w:val="24"/>
        </w:rPr>
        <w:t>income, but</w:t>
      </w:r>
      <w:proofErr w:type="gramEnd"/>
      <w:r w:rsidR="009852FE">
        <w:rPr>
          <w:sz w:val="24"/>
          <w:szCs w:val="24"/>
        </w:rPr>
        <w:t xml:space="preserve"> look at this only on a ‘before housing costs’ </w:t>
      </w:r>
      <w:r w:rsidR="002941FE">
        <w:rPr>
          <w:sz w:val="24"/>
          <w:szCs w:val="24"/>
        </w:rPr>
        <w:t xml:space="preserve">(BHC) </w:t>
      </w:r>
      <w:r w:rsidR="009852FE">
        <w:rPr>
          <w:sz w:val="24"/>
          <w:szCs w:val="24"/>
        </w:rPr>
        <w:t xml:space="preserve">basis. </w:t>
      </w:r>
      <w:proofErr w:type="gramStart"/>
      <w:r w:rsidR="009852FE">
        <w:rPr>
          <w:sz w:val="24"/>
          <w:szCs w:val="24"/>
        </w:rPr>
        <w:t>That is to say, they</w:t>
      </w:r>
      <w:proofErr w:type="gramEnd"/>
      <w:r w:rsidR="009852FE">
        <w:rPr>
          <w:sz w:val="24"/>
          <w:szCs w:val="24"/>
        </w:rPr>
        <w:t xml:space="preserve"> take no account of the fact that comparing incomes for households in different parts of the country where housing costs vary does not produce a like for like comparison of disposable incomes. As a result, the figures greatly understate the impact of low income in areas such as London with high housing costs.</w:t>
      </w:r>
    </w:p>
    <w:p w14:paraId="07CD2AC4" w14:textId="64EE5C8B" w:rsidR="009852FE" w:rsidRDefault="009852FE" w:rsidP="00C44973">
      <w:pPr>
        <w:spacing w:after="0" w:line="240" w:lineRule="auto"/>
        <w:rPr>
          <w:sz w:val="24"/>
          <w:szCs w:val="24"/>
        </w:rPr>
      </w:pPr>
    </w:p>
    <w:p w14:paraId="4D775BEA" w14:textId="005283AC" w:rsidR="001D2DC3" w:rsidRDefault="009852FE" w:rsidP="001D2DC3">
      <w:r>
        <w:rPr>
          <w:sz w:val="24"/>
          <w:szCs w:val="24"/>
        </w:rPr>
        <w:t>This paper and accompanying data use the DWP</w:t>
      </w:r>
      <w:r w:rsidR="00E73DC6">
        <w:rPr>
          <w:sz w:val="24"/>
          <w:szCs w:val="24"/>
        </w:rPr>
        <w:t>/HMRC</w:t>
      </w:r>
      <w:r>
        <w:rPr>
          <w:sz w:val="24"/>
          <w:szCs w:val="24"/>
        </w:rPr>
        <w:t xml:space="preserve"> local indicators combined with information about housing costs at the local level to estimate poverty rates after housing costs</w:t>
      </w:r>
      <w:r w:rsidR="002941FE">
        <w:rPr>
          <w:sz w:val="24"/>
          <w:szCs w:val="24"/>
        </w:rPr>
        <w:t xml:space="preserve"> (AHC)</w:t>
      </w:r>
      <w:r>
        <w:rPr>
          <w:sz w:val="24"/>
          <w:szCs w:val="24"/>
        </w:rPr>
        <w:t xml:space="preserve"> - </w:t>
      </w:r>
      <w:r w:rsidR="00FB3A71">
        <w:rPr>
          <w:sz w:val="24"/>
          <w:szCs w:val="24"/>
        </w:rPr>
        <w:t>i.e.</w:t>
      </w:r>
      <w:r>
        <w:rPr>
          <w:sz w:val="24"/>
          <w:szCs w:val="24"/>
        </w:rPr>
        <w:t xml:space="preserve"> how many are children are in households with incomes net of housing costs that are below 60% of the median. It makes estimates local authorities and parliamentary constituencies for </w:t>
      </w:r>
      <w:r w:rsidR="004C22A6">
        <w:rPr>
          <w:sz w:val="24"/>
          <w:szCs w:val="24"/>
        </w:rPr>
        <w:t>each of five years from 2014/15 to 2018/19.</w:t>
      </w:r>
      <w:r w:rsidR="001D2DC3">
        <w:rPr>
          <w:sz w:val="24"/>
          <w:szCs w:val="24"/>
        </w:rPr>
        <w:t xml:space="preserve"> </w:t>
      </w:r>
      <w:r w:rsidR="001D2DC3">
        <w:t xml:space="preserve">Note that the total number of children in poverty shown here only includes those aged under </w:t>
      </w:r>
      <w:proofErr w:type="gramStart"/>
      <w:r w:rsidR="001D2DC3">
        <w:t>16, and</w:t>
      </w:r>
      <w:proofErr w:type="gramEnd"/>
      <w:r w:rsidR="001D2DC3">
        <w:t xml:space="preserve"> is therefore lower than in the main poverty statistics, which also includes 16-19 year olds in full-time secondary education.</w:t>
      </w:r>
    </w:p>
    <w:p w14:paraId="23299256" w14:textId="0CDFB1F4" w:rsidR="004C22A6" w:rsidRDefault="004C22A6" w:rsidP="00C44973">
      <w:pPr>
        <w:spacing w:after="0" w:line="240" w:lineRule="auto"/>
        <w:rPr>
          <w:sz w:val="24"/>
          <w:szCs w:val="24"/>
        </w:rPr>
      </w:pPr>
    </w:p>
    <w:p w14:paraId="7CBAA6C4" w14:textId="6BE4C73F" w:rsidR="004C22A6" w:rsidRPr="00277E44" w:rsidRDefault="004C22A6" w:rsidP="00BB4C69">
      <w:pPr>
        <w:pStyle w:val="Heading1"/>
      </w:pPr>
      <w:bookmarkStart w:id="2" w:name="_Toc52547004"/>
      <w:bookmarkStart w:id="3" w:name="_Toc52547177"/>
      <w:r w:rsidRPr="00277E44">
        <w:t>Methods</w:t>
      </w:r>
      <w:bookmarkEnd w:id="2"/>
      <w:bookmarkEnd w:id="3"/>
    </w:p>
    <w:p w14:paraId="7A087143" w14:textId="30EE1D3D" w:rsidR="009852FE" w:rsidRDefault="009852FE" w:rsidP="00C44973">
      <w:pPr>
        <w:spacing w:after="0" w:line="240" w:lineRule="auto"/>
        <w:rPr>
          <w:sz w:val="24"/>
          <w:szCs w:val="24"/>
        </w:rPr>
      </w:pPr>
    </w:p>
    <w:p w14:paraId="32DA5C66" w14:textId="720C91DA" w:rsidR="004C22A6" w:rsidRDefault="004C22A6" w:rsidP="00C44973">
      <w:pPr>
        <w:spacing w:after="0" w:line="240" w:lineRule="auto"/>
        <w:rPr>
          <w:sz w:val="24"/>
          <w:szCs w:val="24"/>
        </w:rPr>
      </w:pPr>
      <w:r>
        <w:rPr>
          <w:sz w:val="24"/>
          <w:szCs w:val="24"/>
        </w:rPr>
        <w:t xml:space="preserve">Before 2020, </w:t>
      </w:r>
      <w:r w:rsidR="005E305C" w:rsidRPr="00165B05">
        <w:rPr>
          <w:sz w:val="24"/>
          <w:szCs w:val="24"/>
        </w:rPr>
        <w:t>estimates of local child poverty rates</w:t>
      </w:r>
      <w:r>
        <w:rPr>
          <w:sz w:val="24"/>
          <w:szCs w:val="24"/>
        </w:rPr>
        <w:t xml:space="preserve"> in the UK</w:t>
      </w:r>
      <w:r w:rsidR="005E305C" w:rsidRPr="00165B05">
        <w:rPr>
          <w:sz w:val="24"/>
          <w:szCs w:val="24"/>
        </w:rPr>
        <w:t xml:space="preserve"> ha</w:t>
      </w:r>
      <w:r w:rsidR="00E04ED3">
        <w:rPr>
          <w:sz w:val="24"/>
          <w:szCs w:val="24"/>
        </w:rPr>
        <w:t>d</w:t>
      </w:r>
      <w:r w:rsidR="005E305C" w:rsidRPr="00165B05">
        <w:rPr>
          <w:sz w:val="24"/>
          <w:szCs w:val="24"/>
        </w:rPr>
        <w:t xml:space="preserve"> not been able to draw on direct calculations of incomes at local area level. </w:t>
      </w:r>
      <w:r>
        <w:rPr>
          <w:sz w:val="24"/>
          <w:szCs w:val="24"/>
        </w:rPr>
        <w:t>Household income surveys do not have sufficient sample sizes to provide breakdowns for areas smaller than a region.</w:t>
      </w:r>
      <w:r w:rsidR="000A189A">
        <w:rPr>
          <w:sz w:val="24"/>
          <w:szCs w:val="24"/>
        </w:rPr>
        <w:t xml:space="preserve"> </w:t>
      </w:r>
      <w:r w:rsidR="005E305C" w:rsidRPr="00165B05">
        <w:rPr>
          <w:sz w:val="24"/>
          <w:szCs w:val="24"/>
        </w:rPr>
        <w:t xml:space="preserve">The </w:t>
      </w:r>
      <w:r w:rsidR="009E28C2" w:rsidRPr="00165B05">
        <w:rPr>
          <w:sz w:val="24"/>
          <w:szCs w:val="24"/>
        </w:rPr>
        <w:t xml:space="preserve">previous </w:t>
      </w:r>
      <w:r w:rsidR="005E305C" w:rsidRPr="00165B05">
        <w:rPr>
          <w:sz w:val="24"/>
          <w:szCs w:val="24"/>
        </w:rPr>
        <w:t xml:space="preserve">HMRC </w:t>
      </w:r>
      <w:r w:rsidR="009E28C2" w:rsidRPr="00165B05">
        <w:rPr>
          <w:sz w:val="24"/>
          <w:szCs w:val="24"/>
        </w:rPr>
        <w:t xml:space="preserve">series on </w:t>
      </w:r>
      <w:r w:rsidR="005E305C" w:rsidRPr="00165B05">
        <w:rPr>
          <w:sz w:val="24"/>
          <w:szCs w:val="24"/>
        </w:rPr>
        <w:t xml:space="preserve">children </w:t>
      </w:r>
      <w:r w:rsidR="009E28C2" w:rsidRPr="00165B05">
        <w:rPr>
          <w:sz w:val="24"/>
          <w:szCs w:val="24"/>
        </w:rPr>
        <w:t>in low income families</w:t>
      </w:r>
      <w:r w:rsidR="005E305C" w:rsidRPr="00165B05">
        <w:rPr>
          <w:sz w:val="24"/>
          <w:szCs w:val="24"/>
        </w:rPr>
        <w:t xml:space="preserve"> drew partially on tax credit information for working </w:t>
      </w:r>
      <w:proofErr w:type="gramStart"/>
      <w:r w:rsidR="005E305C" w:rsidRPr="00165B05">
        <w:rPr>
          <w:sz w:val="24"/>
          <w:szCs w:val="24"/>
        </w:rPr>
        <w:t>families,</w:t>
      </w:r>
      <w:r>
        <w:rPr>
          <w:sz w:val="24"/>
          <w:szCs w:val="24"/>
        </w:rPr>
        <w:t xml:space="preserve"> </w:t>
      </w:r>
      <w:r w:rsidR="005E305C" w:rsidRPr="00165B05">
        <w:rPr>
          <w:sz w:val="24"/>
          <w:szCs w:val="24"/>
        </w:rPr>
        <w:t>but</w:t>
      </w:r>
      <w:proofErr w:type="gramEnd"/>
      <w:r w:rsidR="005E305C" w:rsidRPr="00165B05">
        <w:rPr>
          <w:sz w:val="24"/>
          <w:szCs w:val="24"/>
        </w:rPr>
        <w:t xml:space="preserve"> produced an account of child poverty in working and non-working families that corresponded poorly with more direct survey evidence.</w:t>
      </w:r>
      <w:r w:rsidR="000A189A">
        <w:rPr>
          <w:sz w:val="24"/>
          <w:szCs w:val="24"/>
        </w:rPr>
        <w:t xml:space="preserve"> </w:t>
      </w:r>
      <w:r w:rsidR="005E305C" w:rsidRPr="00165B05">
        <w:rPr>
          <w:sz w:val="24"/>
          <w:szCs w:val="24"/>
        </w:rPr>
        <w:t xml:space="preserve"> In contrast, the new indicators look directly at most of the income sources reported for tax, tax credit and benefit purposes for individual families. Unlike surveys, they cover the whole population not just a sample, and can therefore be </w:t>
      </w:r>
      <w:r w:rsidR="005D0440" w:rsidRPr="00165B05">
        <w:rPr>
          <w:sz w:val="24"/>
          <w:szCs w:val="24"/>
        </w:rPr>
        <w:t>considered at the very local level.</w:t>
      </w:r>
      <w:r w:rsidR="009E28C2" w:rsidRPr="00165B05">
        <w:rPr>
          <w:sz w:val="24"/>
          <w:szCs w:val="24"/>
        </w:rPr>
        <w:t xml:space="preserve"> </w:t>
      </w:r>
      <w:r w:rsidR="000A189A">
        <w:rPr>
          <w:sz w:val="24"/>
          <w:szCs w:val="24"/>
        </w:rPr>
        <w:t xml:space="preserve"> </w:t>
      </w:r>
      <w:r w:rsidR="005D0440" w:rsidRPr="00165B05">
        <w:rPr>
          <w:sz w:val="24"/>
          <w:szCs w:val="24"/>
        </w:rPr>
        <w:t xml:space="preserve">The basis for the new method is summarised in the </w:t>
      </w:r>
      <w:r>
        <w:rPr>
          <w:sz w:val="24"/>
          <w:szCs w:val="24"/>
        </w:rPr>
        <w:t>A</w:t>
      </w:r>
      <w:r w:rsidR="005D0440" w:rsidRPr="00165B05">
        <w:rPr>
          <w:sz w:val="24"/>
          <w:szCs w:val="24"/>
        </w:rPr>
        <w:t>ppendix</w:t>
      </w:r>
      <w:r>
        <w:rPr>
          <w:sz w:val="24"/>
          <w:szCs w:val="24"/>
        </w:rPr>
        <w:t xml:space="preserve"> A</w:t>
      </w:r>
      <w:r w:rsidR="005D0440" w:rsidRPr="00165B05">
        <w:rPr>
          <w:sz w:val="24"/>
          <w:szCs w:val="24"/>
        </w:rPr>
        <w:t xml:space="preserve"> below. </w:t>
      </w:r>
      <w:r w:rsidR="000A189A">
        <w:rPr>
          <w:sz w:val="24"/>
          <w:szCs w:val="24"/>
        </w:rPr>
        <w:t xml:space="preserve"> </w:t>
      </w:r>
      <w:r>
        <w:rPr>
          <w:sz w:val="24"/>
          <w:szCs w:val="24"/>
        </w:rPr>
        <w:t xml:space="preserve">An earlier paper for End Child Poverty, published in May 2020, summarised these results, based on </w:t>
      </w:r>
      <w:r w:rsidR="002941FE">
        <w:rPr>
          <w:sz w:val="24"/>
          <w:szCs w:val="24"/>
        </w:rPr>
        <w:t xml:space="preserve">BHC </w:t>
      </w:r>
      <w:r>
        <w:rPr>
          <w:sz w:val="24"/>
          <w:szCs w:val="24"/>
        </w:rPr>
        <w:t>incomes.</w:t>
      </w:r>
    </w:p>
    <w:p w14:paraId="69C32DFF" w14:textId="77777777" w:rsidR="004C22A6" w:rsidRDefault="004C22A6" w:rsidP="00C44973">
      <w:pPr>
        <w:spacing w:after="0" w:line="240" w:lineRule="auto"/>
        <w:rPr>
          <w:sz w:val="24"/>
          <w:szCs w:val="24"/>
        </w:rPr>
      </w:pPr>
    </w:p>
    <w:p w14:paraId="24220579" w14:textId="15026831" w:rsidR="004C22A6" w:rsidRDefault="004C22A6" w:rsidP="00C44973">
      <w:pPr>
        <w:spacing w:after="0" w:line="240" w:lineRule="auto"/>
        <w:rPr>
          <w:sz w:val="24"/>
          <w:szCs w:val="24"/>
        </w:rPr>
      </w:pPr>
      <w:r>
        <w:rPr>
          <w:sz w:val="24"/>
          <w:szCs w:val="24"/>
        </w:rPr>
        <w:t xml:space="preserve">The present figures estimate an </w:t>
      </w:r>
      <w:r w:rsidR="002941FE">
        <w:rPr>
          <w:sz w:val="24"/>
          <w:szCs w:val="24"/>
        </w:rPr>
        <w:t>AHC</w:t>
      </w:r>
      <w:r>
        <w:rPr>
          <w:sz w:val="24"/>
          <w:szCs w:val="24"/>
        </w:rPr>
        <w:t xml:space="preserve"> data set, building on the </w:t>
      </w:r>
      <w:r w:rsidR="002941FE">
        <w:rPr>
          <w:sz w:val="24"/>
          <w:szCs w:val="24"/>
        </w:rPr>
        <w:t>BHC</w:t>
      </w:r>
      <w:r>
        <w:rPr>
          <w:sz w:val="24"/>
          <w:szCs w:val="24"/>
        </w:rPr>
        <w:t xml:space="preserve"> data. There is not a way of directly looking at</w:t>
      </w:r>
      <w:r w:rsidR="002941FE">
        <w:rPr>
          <w:sz w:val="24"/>
          <w:szCs w:val="24"/>
        </w:rPr>
        <w:t xml:space="preserve"> AHC</w:t>
      </w:r>
      <w:r>
        <w:rPr>
          <w:sz w:val="24"/>
          <w:szCs w:val="24"/>
        </w:rPr>
        <w:t xml:space="preserve"> incomes from </w:t>
      </w:r>
      <w:r w:rsidR="000F308C">
        <w:rPr>
          <w:sz w:val="24"/>
          <w:szCs w:val="24"/>
        </w:rPr>
        <w:t>information held by the</w:t>
      </w:r>
      <w:r>
        <w:rPr>
          <w:sz w:val="24"/>
          <w:szCs w:val="24"/>
        </w:rPr>
        <w:t xml:space="preserve"> tax and benefit authorities, since only some people (notably those claiming Housing Benefit or the rent element of Universal Credit) need to report </w:t>
      </w:r>
      <w:r w:rsidR="002941FE">
        <w:rPr>
          <w:sz w:val="24"/>
          <w:szCs w:val="24"/>
        </w:rPr>
        <w:t>housing</w:t>
      </w:r>
      <w:r>
        <w:rPr>
          <w:sz w:val="24"/>
          <w:szCs w:val="24"/>
        </w:rPr>
        <w:t xml:space="preserve"> costs. </w:t>
      </w:r>
      <w:r w:rsidR="000F308C">
        <w:rPr>
          <w:sz w:val="24"/>
          <w:szCs w:val="24"/>
        </w:rPr>
        <w:t xml:space="preserve">Instead, we modelled the effect of housing costs by area on child poverty rates, by looking at household survey data alongside statistics on </w:t>
      </w:r>
      <w:r w:rsidR="00E04ED3">
        <w:rPr>
          <w:sz w:val="24"/>
          <w:szCs w:val="24"/>
        </w:rPr>
        <w:t xml:space="preserve">private </w:t>
      </w:r>
      <w:r w:rsidR="000F308C">
        <w:rPr>
          <w:sz w:val="24"/>
          <w:szCs w:val="24"/>
        </w:rPr>
        <w:t xml:space="preserve">rent levels by local area.  Specifically, using the Valuation Office Agency rent data and the Understanding Society survey, we observed the correlation between </w:t>
      </w:r>
      <w:r w:rsidR="002941FE">
        <w:rPr>
          <w:sz w:val="24"/>
          <w:szCs w:val="24"/>
        </w:rPr>
        <w:t xml:space="preserve">private </w:t>
      </w:r>
      <w:r w:rsidR="000F308C">
        <w:rPr>
          <w:sz w:val="24"/>
          <w:szCs w:val="24"/>
        </w:rPr>
        <w:t xml:space="preserve">rent levels </w:t>
      </w:r>
      <w:r w:rsidR="002941FE">
        <w:rPr>
          <w:sz w:val="24"/>
          <w:szCs w:val="24"/>
        </w:rPr>
        <w:t xml:space="preserve">by local authority </w:t>
      </w:r>
      <w:r w:rsidR="000F308C">
        <w:rPr>
          <w:sz w:val="24"/>
          <w:szCs w:val="24"/>
        </w:rPr>
        <w:t>and the ratio of</w:t>
      </w:r>
      <w:r w:rsidR="002941FE">
        <w:rPr>
          <w:sz w:val="24"/>
          <w:szCs w:val="24"/>
        </w:rPr>
        <w:t xml:space="preserve"> </w:t>
      </w:r>
      <w:r w:rsidR="006B625D">
        <w:rPr>
          <w:sz w:val="24"/>
          <w:szCs w:val="24"/>
        </w:rPr>
        <w:t>AH</w:t>
      </w:r>
      <w:r w:rsidR="002941FE">
        <w:rPr>
          <w:sz w:val="24"/>
          <w:szCs w:val="24"/>
        </w:rPr>
        <w:t xml:space="preserve">C to </w:t>
      </w:r>
      <w:r w:rsidR="006B625D">
        <w:rPr>
          <w:sz w:val="24"/>
          <w:szCs w:val="24"/>
        </w:rPr>
        <w:t>B</w:t>
      </w:r>
      <w:r w:rsidR="002941FE">
        <w:rPr>
          <w:sz w:val="24"/>
          <w:szCs w:val="24"/>
        </w:rPr>
        <w:t>HC poverty rates</w:t>
      </w:r>
      <w:r w:rsidR="000F308C">
        <w:rPr>
          <w:sz w:val="24"/>
          <w:szCs w:val="24"/>
        </w:rPr>
        <w:t xml:space="preserve">. This relationship, observed across the country, gave a basis for making an estimate in each local authority of </w:t>
      </w:r>
      <w:r w:rsidR="002941FE">
        <w:rPr>
          <w:sz w:val="24"/>
          <w:szCs w:val="24"/>
        </w:rPr>
        <w:lastRenderedPageBreak/>
        <w:t xml:space="preserve">child poverty AHC.  For parliamentary constituencies, we made similar estimates, based on the modelled ratio of </w:t>
      </w:r>
      <w:r w:rsidR="006B625D">
        <w:rPr>
          <w:sz w:val="24"/>
          <w:szCs w:val="24"/>
        </w:rPr>
        <w:t>A</w:t>
      </w:r>
      <w:r w:rsidR="002941FE">
        <w:rPr>
          <w:sz w:val="24"/>
          <w:szCs w:val="24"/>
        </w:rPr>
        <w:t xml:space="preserve">HC to </w:t>
      </w:r>
      <w:r w:rsidR="006B625D">
        <w:rPr>
          <w:sz w:val="24"/>
          <w:szCs w:val="24"/>
        </w:rPr>
        <w:t>B</w:t>
      </w:r>
      <w:r w:rsidR="002941FE">
        <w:rPr>
          <w:sz w:val="24"/>
          <w:szCs w:val="24"/>
        </w:rPr>
        <w:t>HC poverty rates in the local authority where the constituency (or the largest number of its wards,</w:t>
      </w:r>
      <w:r w:rsidR="00E04ED3">
        <w:rPr>
          <w:sz w:val="24"/>
          <w:szCs w:val="24"/>
        </w:rPr>
        <w:t xml:space="preserve"> in constituencies that span</w:t>
      </w:r>
      <w:r w:rsidR="002941FE">
        <w:rPr>
          <w:sz w:val="24"/>
          <w:szCs w:val="24"/>
        </w:rPr>
        <w:t xml:space="preserve"> more than one local authority) is located. </w:t>
      </w:r>
      <w:r w:rsidR="00FB3A71">
        <w:rPr>
          <w:sz w:val="24"/>
          <w:szCs w:val="24"/>
        </w:rPr>
        <w:t xml:space="preserve">These estimates were further refined using median house prices by parliamentary constituency. </w:t>
      </w:r>
      <w:r w:rsidR="00E04ED3">
        <w:rPr>
          <w:sz w:val="24"/>
          <w:szCs w:val="24"/>
        </w:rPr>
        <w:t>(</w:t>
      </w:r>
      <w:r w:rsidR="002941FE">
        <w:rPr>
          <w:sz w:val="24"/>
          <w:szCs w:val="24"/>
        </w:rPr>
        <w:t>We were</w:t>
      </w:r>
      <w:r w:rsidR="00E04ED3">
        <w:rPr>
          <w:sz w:val="24"/>
          <w:szCs w:val="24"/>
        </w:rPr>
        <w:t xml:space="preserve"> however</w:t>
      </w:r>
      <w:r w:rsidR="002941FE">
        <w:rPr>
          <w:sz w:val="24"/>
          <w:szCs w:val="24"/>
        </w:rPr>
        <w:t xml:space="preserve"> unable to make the adjustments for </w:t>
      </w:r>
      <w:r w:rsidR="00E04ED3">
        <w:rPr>
          <w:sz w:val="24"/>
          <w:szCs w:val="24"/>
        </w:rPr>
        <w:t xml:space="preserve">individual </w:t>
      </w:r>
      <w:r w:rsidR="002941FE">
        <w:rPr>
          <w:sz w:val="24"/>
          <w:szCs w:val="24"/>
        </w:rPr>
        <w:t xml:space="preserve">wards, since valid data on housing costs at this local level are unavailable, meaning that the only ward comparisons are </w:t>
      </w:r>
      <w:hyperlink r:id="rId15" w:history="1">
        <w:r w:rsidR="002941FE" w:rsidRPr="0079714B">
          <w:rPr>
            <w:rStyle w:val="Hyperlink"/>
            <w:sz w:val="24"/>
            <w:szCs w:val="24"/>
          </w:rPr>
          <w:t>the BHC ones produced by DWP</w:t>
        </w:r>
      </w:hyperlink>
      <w:r w:rsidR="00E73DC6">
        <w:rPr>
          <w:sz w:val="24"/>
          <w:szCs w:val="24"/>
        </w:rPr>
        <w:t>/HMRC</w:t>
      </w:r>
      <w:r w:rsidR="002941FE">
        <w:rPr>
          <w:sz w:val="24"/>
          <w:szCs w:val="24"/>
        </w:rPr>
        <w:t>.</w:t>
      </w:r>
      <w:r w:rsidR="00E04ED3">
        <w:rPr>
          <w:sz w:val="24"/>
          <w:szCs w:val="24"/>
        </w:rPr>
        <w:t>)</w:t>
      </w:r>
      <w:r w:rsidR="002941FE">
        <w:rPr>
          <w:sz w:val="24"/>
          <w:szCs w:val="24"/>
        </w:rPr>
        <w:t xml:space="preserve">  Appendix B sets out our method in more detail.</w:t>
      </w:r>
      <w:r w:rsidR="000F308C">
        <w:rPr>
          <w:sz w:val="24"/>
          <w:szCs w:val="24"/>
        </w:rPr>
        <w:t xml:space="preserve"> </w:t>
      </w:r>
    </w:p>
    <w:p w14:paraId="64A7538A" w14:textId="023CB26C" w:rsidR="004C22A6" w:rsidRDefault="004C22A6" w:rsidP="00C44973">
      <w:pPr>
        <w:spacing w:after="0" w:line="240" w:lineRule="auto"/>
        <w:rPr>
          <w:sz w:val="24"/>
          <w:szCs w:val="24"/>
        </w:rPr>
      </w:pPr>
    </w:p>
    <w:p w14:paraId="47637776" w14:textId="77777777" w:rsidR="004875F5" w:rsidRPr="00165B05" w:rsidRDefault="004875F5" w:rsidP="00C44973">
      <w:pPr>
        <w:pStyle w:val="ListParagraph"/>
        <w:spacing w:after="0" w:line="240" w:lineRule="auto"/>
        <w:ind w:left="567" w:hanging="567"/>
        <w:rPr>
          <w:sz w:val="24"/>
          <w:szCs w:val="24"/>
        </w:rPr>
      </w:pPr>
    </w:p>
    <w:p w14:paraId="06E9836C" w14:textId="0D055CDE" w:rsidR="004875F5" w:rsidRPr="00BB4C69" w:rsidRDefault="005753DB" w:rsidP="00BB4C69">
      <w:pPr>
        <w:pStyle w:val="Heading1"/>
      </w:pPr>
      <w:bookmarkStart w:id="4" w:name="_Toc52547005"/>
      <w:bookmarkStart w:id="5" w:name="_Toc52547178"/>
      <w:r w:rsidRPr="00BB4C69">
        <w:t>Local authority and parliamentary constituency rates</w:t>
      </w:r>
      <w:r w:rsidR="00E04ED3" w:rsidRPr="00BB4C69">
        <w:t xml:space="preserve"> in</w:t>
      </w:r>
      <w:r w:rsidRPr="00BB4C69">
        <w:t xml:space="preserve"> 2018/19</w:t>
      </w:r>
      <w:bookmarkEnd w:id="4"/>
      <w:bookmarkEnd w:id="5"/>
    </w:p>
    <w:p w14:paraId="21C868FF" w14:textId="0EA3996A" w:rsidR="002765DF" w:rsidRPr="00BB4C69" w:rsidRDefault="002765DF" w:rsidP="00BB4C69">
      <w:pPr>
        <w:pStyle w:val="ListParagraph"/>
        <w:spacing w:after="0" w:line="240" w:lineRule="auto"/>
        <w:ind w:left="432"/>
        <w:rPr>
          <w:b/>
          <w:bCs/>
          <w:sz w:val="24"/>
          <w:szCs w:val="24"/>
        </w:rPr>
      </w:pPr>
    </w:p>
    <w:p w14:paraId="35412C09" w14:textId="6B0888D7" w:rsidR="002765DF" w:rsidRPr="002765DF" w:rsidRDefault="002765DF" w:rsidP="002765DF">
      <w:pPr>
        <w:spacing w:after="0" w:line="240" w:lineRule="auto"/>
        <w:rPr>
          <w:sz w:val="24"/>
          <w:szCs w:val="24"/>
        </w:rPr>
      </w:pPr>
      <w:r>
        <w:rPr>
          <w:sz w:val="24"/>
          <w:szCs w:val="24"/>
        </w:rPr>
        <w:t xml:space="preserve">Tables 1 and 2 show the 20 local authorities and constituencies with the highest child poverty rates, after housing costs, in 2018/19, the latest year for which data are available. Data for all areas, for all years between 2014/15 and 2018/19, can be found </w:t>
      </w:r>
      <w:hyperlink r:id="rId16" w:history="1">
        <w:r w:rsidRPr="006D4F2E">
          <w:rPr>
            <w:rStyle w:val="Hyperlink"/>
            <w:sz w:val="24"/>
            <w:szCs w:val="24"/>
          </w:rPr>
          <w:t>here</w:t>
        </w:r>
      </w:hyperlink>
      <w:r>
        <w:rPr>
          <w:sz w:val="24"/>
          <w:szCs w:val="24"/>
        </w:rPr>
        <w:t>.</w:t>
      </w:r>
    </w:p>
    <w:p w14:paraId="5D626582" w14:textId="7D351404" w:rsidR="00E04ED3" w:rsidRDefault="00E04ED3" w:rsidP="00E04ED3">
      <w:pPr>
        <w:spacing w:after="0" w:line="240" w:lineRule="auto"/>
        <w:rPr>
          <w:b/>
          <w:bCs/>
          <w:sz w:val="24"/>
          <w:szCs w:val="24"/>
        </w:rPr>
      </w:pPr>
    </w:p>
    <w:p w14:paraId="6BC2EDC1" w14:textId="2A0880AA" w:rsidR="002765DF" w:rsidRDefault="002765DF" w:rsidP="002765DF">
      <w:pPr>
        <w:spacing w:after="0" w:line="240" w:lineRule="auto"/>
        <w:ind w:left="1440" w:hanging="1440"/>
        <w:rPr>
          <w:b/>
          <w:bCs/>
          <w:sz w:val="24"/>
          <w:szCs w:val="24"/>
        </w:rPr>
      </w:pPr>
      <w:r w:rsidRPr="00165B05">
        <w:rPr>
          <w:b/>
          <w:bCs/>
          <w:sz w:val="24"/>
          <w:szCs w:val="24"/>
        </w:rPr>
        <w:t xml:space="preserve">Table </w:t>
      </w:r>
      <w:r>
        <w:rPr>
          <w:b/>
          <w:bCs/>
          <w:sz w:val="24"/>
          <w:szCs w:val="24"/>
        </w:rPr>
        <w:t>1</w:t>
      </w:r>
      <w:r w:rsidRPr="00165B05">
        <w:rPr>
          <w:b/>
          <w:bCs/>
          <w:sz w:val="24"/>
          <w:szCs w:val="24"/>
        </w:rPr>
        <w:tab/>
        <w:t xml:space="preserve">The 20 </w:t>
      </w:r>
      <w:r>
        <w:rPr>
          <w:b/>
          <w:bCs/>
          <w:sz w:val="24"/>
          <w:szCs w:val="24"/>
        </w:rPr>
        <w:t>local authorities</w:t>
      </w:r>
      <w:r w:rsidRPr="00165B05">
        <w:rPr>
          <w:b/>
          <w:bCs/>
          <w:sz w:val="24"/>
          <w:szCs w:val="24"/>
        </w:rPr>
        <w:t xml:space="preserve"> with </w:t>
      </w:r>
      <w:r>
        <w:rPr>
          <w:b/>
          <w:bCs/>
          <w:sz w:val="24"/>
          <w:szCs w:val="24"/>
        </w:rPr>
        <w:t xml:space="preserve">highest child poverty rates, </w:t>
      </w:r>
      <w:r w:rsidRPr="00165B05">
        <w:rPr>
          <w:b/>
          <w:bCs/>
          <w:sz w:val="24"/>
          <w:szCs w:val="24"/>
        </w:rPr>
        <w:t>2018/19</w:t>
      </w:r>
    </w:p>
    <w:p w14:paraId="233CD014" w14:textId="77777777" w:rsidR="00FD1025" w:rsidRDefault="00FD1025" w:rsidP="002765DF">
      <w:pPr>
        <w:spacing w:after="0" w:line="240" w:lineRule="auto"/>
        <w:ind w:left="1440" w:hanging="1440"/>
        <w:rPr>
          <w:b/>
          <w:bCs/>
          <w:sz w:val="24"/>
          <w:szCs w:val="24"/>
        </w:rPr>
      </w:pPr>
    </w:p>
    <w:tbl>
      <w:tblPr>
        <w:tblStyle w:val="TableGrid"/>
        <w:tblW w:w="0" w:type="auto"/>
        <w:tblLook w:val="04A0" w:firstRow="1" w:lastRow="0" w:firstColumn="1" w:lastColumn="0" w:noHBand="0" w:noVBand="1"/>
      </w:tblPr>
      <w:tblGrid>
        <w:gridCol w:w="3539"/>
        <w:gridCol w:w="4253"/>
      </w:tblGrid>
      <w:tr w:rsidR="002765DF" w:rsidRPr="00165B05" w14:paraId="01566810" w14:textId="77777777" w:rsidTr="00712D81">
        <w:tc>
          <w:tcPr>
            <w:tcW w:w="3539" w:type="dxa"/>
            <w:shd w:val="clear" w:color="auto" w:fill="B4C6E7" w:themeFill="accent1" w:themeFillTint="66"/>
          </w:tcPr>
          <w:p w14:paraId="3027E745" w14:textId="77777777" w:rsidR="002765DF" w:rsidRPr="009C5995" w:rsidRDefault="002765DF" w:rsidP="00712D81">
            <w:pPr>
              <w:rPr>
                <w:rFonts w:ascii="Calibri" w:eastAsia="Times New Roman" w:hAnsi="Calibri" w:cs="Calibri"/>
                <w:b/>
                <w:bCs/>
                <w:sz w:val="24"/>
                <w:szCs w:val="24"/>
                <w:lang w:eastAsia="en-GB"/>
              </w:rPr>
            </w:pPr>
            <w:r w:rsidRPr="009C5995">
              <w:rPr>
                <w:rFonts w:ascii="Calibri" w:eastAsia="Times New Roman" w:hAnsi="Calibri" w:cs="Calibri"/>
                <w:b/>
                <w:bCs/>
                <w:sz w:val="24"/>
                <w:szCs w:val="24"/>
                <w:lang w:eastAsia="en-GB"/>
              </w:rPr>
              <w:t>Local authority</w:t>
            </w:r>
          </w:p>
        </w:tc>
        <w:tc>
          <w:tcPr>
            <w:tcW w:w="4253" w:type="dxa"/>
            <w:shd w:val="clear" w:color="auto" w:fill="B4C6E7" w:themeFill="accent1" w:themeFillTint="66"/>
          </w:tcPr>
          <w:p w14:paraId="05E01A1C" w14:textId="77777777" w:rsidR="002765DF" w:rsidRPr="009C5995" w:rsidRDefault="002765DF" w:rsidP="00712D81">
            <w:pPr>
              <w:jc w:val="center"/>
              <w:rPr>
                <w:rFonts w:ascii="Calibri" w:eastAsia="Times New Roman" w:hAnsi="Calibri" w:cs="Calibri"/>
                <w:b/>
                <w:bCs/>
                <w:sz w:val="24"/>
                <w:szCs w:val="24"/>
                <w:lang w:eastAsia="en-GB"/>
              </w:rPr>
            </w:pPr>
            <w:r w:rsidRPr="009C5995">
              <w:rPr>
                <w:rFonts w:ascii="Calibri" w:eastAsia="Times New Roman" w:hAnsi="Calibri" w:cs="Calibri"/>
                <w:b/>
                <w:bCs/>
                <w:sz w:val="24"/>
                <w:szCs w:val="24"/>
                <w:lang w:eastAsia="en-GB"/>
              </w:rPr>
              <w:t>% of children below 60% median income after housing costs, 2018/19</w:t>
            </w:r>
          </w:p>
        </w:tc>
      </w:tr>
      <w:tr w:rsidR="002765DF" w:rsidRPr="00165B05" w14:paraId="297149CA" w14:textId="77777777" w:rsidTr="00712D81">
        <w:tc>
          <w:tcPr>
            <w:tcW w:w="3539" w:type="dxa"/>
          </w:tcPr>
          <w:p w14:paraId="6AE2D0A7" w14:textId="20803AEA" w:rsidR="002765DF" w:rsidRPr="00210CCF" w:rsidRDefault="00210CCF" w:rsidP="00712D81">
            <w:pPr>
              <w:rPr>
                <w:rFonts w:ascii="Calibri" w:hAnsi="Calibri" w:cs="Calibri"/>
                <w:b/>
                <w:bCs/>
                <w:sz w:val="24"/>
                <w:szCs w:val="24"/>
              </w:rPr>
            </w:pPr>
            <w:r>
              <w:rPr>
                <w:rFonts w:ascii="Calibri" w:hAnsi="Calibri" w:cs="Calibri"/>
                <w:b/>
                <w:bCs/>
                <w:sz w:val="24"/>
                <w:szCs w:val="24"/>
              </w:rPr>
              <w:t>UK</w:t>
            </w:r>
          </w:p>
        </w:tc>
        <w:tc>
          <w:tcPr>
            <w:tcW w:w="4253" w:type="dxa"/>
          </w:tcPr>
          <w:p w14:paraId="1A6B8245" w14:textId="6D7ED312" w:rsidR="002765DF" w:rsidRPr="00651CA4" w:rsidRDefault="00210CCF" w:rsidP="00FD1025">
            <w:pPr>
              <w:tabs>
                <w:tab w:val="decimal" w:pos="552"/>
              </w:tabs>
              <w:jc w:val="center"/>
              <w:rPr>
                <w:rFonts w:ascii="Calibri" w:hAnsi="Calibri" w:cs="Calibri"/>
                <w:sz w:val="24"/>
                <w:szCs w:val="24"/>
              </w:rPr>
            </w:pPr>
            <w:r>
              <w:rPr>
                <w:rFonts w:ascii="Calibri" w:eastAsia="Times New Roman" w:hAnsi="Calibri" w:cs="Calibri"/>
                <w:b/>
                <w:bCs/>
                <w:sz w:val="24"/>
                <w:szCs w:val="24"/>
                <w:lang w:eastAsia="en-GB"/>
              </w:rPr>
              <w:t>30</w:t>
            </w:r>
            <w:r w:rsidR="002765DF" w:rsidRPr="00651CA4">
              <w:rPr>
                <w:rFonts w:ascii="Calibri" w:eastAsia="Times New Roman" w:hAnsi="Calibri" w:cs="Calibri"/>
                <w:b/>
                <w:bCs/>
                <w:sz w:val="24"/>
                <w:szCs w:val="24"/>
                <w:lang w:eastAsia="en-GB"/>
              </w:rPr>
              <w:t>%</w:t>
            </w:r>
          </w:p>
        </w:tc>
      </w:tr>
      <w:tr w:rsidR="002765DF" w:rsidRPr="00165B05" w14:paraId="0C5F1896" w14:textId="77777777" w:rsidTr="00712D81">
        <w:tc>
          <w:tcPr>
            <w:tcW w:w="3539" w:type="dxa"/>
            <w:vAlign w:val="bottom"/>
          </w:tcPr>
          <w:p w14:paraId="7A28911D" w14:textId="77777777" w:rsidR="002765DF" w:rsidRPr="00651CA4" w:rsidRDefault="002765DF" w:rsidP="00712D81">
            <w:pPr>
              <w:rPr>
                <w:rFonts w:ascii="Calibri" w:hAnsi="Calibri" w:cs="Calibri"/>
                <w:sz w:val="24"/>
                <w:szCs w:val="24"/>
              </w:rPr>
            </w:pPr>
            <w:r>
              <w:rPr>
                <w:rFonts w:ascii="Arial" w:hAnsi="Arial" w:cs="Arial"/>
                <w:sz w:val="20"/>
                <w:szCs w:val="20"/>
              </w:rPr>
              <w:t>Tower Hamlets</w:t>
            </w:r>
          </w:p>
        </w:tc>
        <w:tc>
          <w:tcPr>
            <w:tcW w:w="4253" w:type="dxa"/>
            <w:vAlign w:val="bottom"/>
          </w:tcPr>
          <w:p w14:paraId="0153F15C"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55.4%</w:t>
            </w:r>
          </w:p>
        </w:tc>
      </w:tr>
      <w:tr w:rsidR="002765DF" w:rsidRPr="00165B05" w14:paraId="4C7CC105" w14:textId="77777777" w:rsidTr="00712D81">
        <w:tc>
          <w:tcPr>
            <w:tcW w:w="3539" w:type="dxa"/>
            <w:vAlign w:val="bottom"/>
          </w:tcPr>
          <w:p w14:paraId="373EF4E1" w14:textId="77777777" w:rsidR="002765DF" w:rsidRPr="00651CA4" w:rsidRDefault="002765DF" w:rsidP="00712D81">
            <w:pPr>
              <w:rPr>
                <w:rFonts w:ascii="Calibri" w:hAnsi="Calibri" w:cs="Calibri"/>
                <w:sz w:val="24"/>
                <w:szCs w:val="24"/>
              </w:rPr>
            </w:pPr>
            <w:r>
              <w:rPr>
                <w:rFonts w:ascii="Arial" w:hAnsi="Arial" w:cs="Arial"/>
                <w:sz w:val="20"/>
                <w:szCs w:val="20"/>
              </w:rPr>
              <w:t>Newham</w:t>
            </w:r>
          </w:p>
        </w:tc>
        <w:tc>
          <w:tcPr>
            <w:tcW w:w="4253" w:type="dxa"/>
            <w:vAlign w:val="bottom"/>
          </w:tcPr>
          <w:p w14:paraId="05453E89"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50.3%</w:t>
            </w:r>
          </w:p>
        </w:tc>
      </w:tr>
      <w:tr w:rsidR="002765DF" w:rsidRPr="00165B05" w14:paraId="7C9E4938" w14:textId="77777777" w:rsidTr="00712D81">
        <w:tc>
          <w:tcPr>
            <w:tcW w:w="3539" w:type="dxa"/>
            <w:vAlign w:val="bottom"/>
          </w:tcPr>
          <w:p w14:paraId="6905BFF2" w14:textId="77777777" w:rsidR="002765DF" w:rsidRPr="00651CA4" w:rsidRDefault="002765DF" w:rsidP="00712D81">
            <w:pPr>
              <w:rPr>
                <w:rFonts w:ascii="Calibri" w:hAnsi="Calibri" w:cs="Calibri"/>
                <w:sz w:val="24"/>
                <w:szCs w:val="24"/>
              </w:rPr>
            </w:pPr>
            <w:r>
              <w:rPr>
                <w:rFonts w:ascii="Arial" w:hAnsi="Arial" w:cs="Arial"/>
                <w:sz w:val="20"/>
                <w:szCs w:val="20"/>
              </w:rPr>
              <w:t>Barking and Dagenham</w:t>
            </w:r>
          </w:p>
        </w:tc>
        <w:tc>
          <w:tcPr>
            <w:tcW w:w="4253" w:type="dxa"/>
            <w:vAlign w:val="bottom"/>
          </w:tcPr>
          <w:p w14:paraId="1CA18CAB"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49.9%</w:t>
            </w:r>
          </w:p>
        </w:tc>
      </w:tr>
      <w:tr w:rsidR="002765DF" w:rsidRPr="00165B05" w14:paraId="2981D6F0" w14:textId="77777777" w:rsidTr="00712D81">
        <w:tc>
          <w:tcPr>
            <w:tcW w:w="3539" w:type="dxa"/>
            <w:vAlign w:val="bottom"/>
          </w:tcPr>
          <w:p w14:paraId="5F6BE606" w14:textId="77777777" w:rsidR="002765DF" w:rsidRPr="00651CA4" w:rsidRDefault="002765DF" w:rsidP="00712D81">
            <w:pPr>
              <w:rPr>
                <w:rFonts w:ascii="Calibri" w:hAnsi="Calibri" w:cs="Calibri"/>
                <w:sz w:val="24"/>
                <w:szCs w:val="24"/>
              </w:rPr>
            </w:pPr>
            <w:r>
              <w:rPr>
                <w:rFonts w:ascii="Arial" w:hAnsi="Arial" w:cs="Arial"/>
                <w:sz w:val="20"/>
                <w:szCs w:val="20"/>
              </w:rPr>
              <w:t>Hackney</w:t>
            </w:r>
          </w:p>
        </w:tc>
        <w:tc>
          <w:tcPr>
            <w:tcW w:w="4253" w:type="dxa"/>
            <w:vAlign w:val="bottom"/>
          </w:tcPr>
          <w:p w14:paraId="4964579C"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48.0%</w:t>
            </w:r>
          </w:p>
        </w:tc>
      </w:tr>
      <w:tr w:rsidR="002765DF" w:rsidRPr="00165B05" w14:paraId="7227B302" w14:textId="77777777" w:rsidTr="00712D81">
        <w:tc>
          <w:tcPr>
            <w:tcW w:w="3539" w:type="dxa"/>
            <w:vAlign w:val="bottom"/>
          </w:tcPr>
          <w:p w14:paraId="751F71CD" w14:textId="77777777" w:rsidR="002765DF" w:rsidRPr="00651CA4" w:rsidRDefault="002765DF" w:rsidP="00712D81">
            <w:pPr>
              <w:rPr>
                <w:rFonts w:ascii="Calibri" w:hAnsi="Calibri" w:cs="Calibri"/>
                <w:sz w:val="24"/>
                <w:szCs w:val="24"/>
              </w:rPr>
            </w:pPr>
            <w:r>
              <w:rPr>
                <w:rFonts w:ascii="Arial" w:hAnsi="Arial" w:cs="Arial"/>
                <w:sz w:val="20"/>
                <w:szCs w:val="20"/>
              </w:rPr>
              <w:t>Waltham Forest</w:t>
            </w:r>
          </w:p>
        </w:tc>
        <w:tc>
          <w:tcPr>
            <w:tcW w:w="4253" w:type="dxa"/>
            <w:vAlign w:val="bottom"/>
          </w:tcPr>
          <w:p w14:paraId="525DC3A7"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47.4%</w:t>
            </w:r>
          </w:p>
        </w:tc>
      </w:tr>
      <w:tr w:rsidR="002765DF" w:rsidRPr="00165B05" w14:paraId="2A9A54CB" w14:textId="77777777" w:rsidTr="00712D81">
        <w:tc>
          <w:tcPr>
            <w:tcW w:w="3539" w:type="dxa"/>
            <w:vAlign w:val="bottom"/>
          </w:tcPr>
          <w:p w14:paraId="780B4FA8" w14:textId="77777777" w:rsidR="002765DF" w:rsidRPr="00651CA4" w:rsidRDefault="002765DF" w:rsidP="00712D81">
            <w:pPr>
              <w:rPr>
                <w:rFonts w:ascii="Calibri" w:hAnsi="Calibri" w:cs="Calibri"/>
                <w:sz w:val="24"/>
                <w:szCs w:val="24"/>
              </w:rPr>
            </w:pPr>
            <w:r>
              <w:rPr>
                <w:rFonts w:ascii="Arial" w:hAnsi="Arial" w:cs="Arial"/>
                <w:sz w:val="20"/>
                <w:szCs w:val="20"/>
              </w:rPr>
              <w:t>Southwark</w:t>
            </w:r>
          </w:p>
        </w:tc>
        <w:tc>
          <w:tcPr>
            <w:tcW w:w="4253" w:type="dxa"/>
            <w:vAlign w:val="bottom"/>
          </w:tcPr>
          <w:p w14:paraId="64FBCAA7"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44.3%</w:t>
            </w:r>
          </w:p>
        </w:tc>
      </w:tr>
      <w:tr w:rsidR="002765DF" w:rsidRPr="00165B05" w14:paraId="3D0889B1" w14:textId="77777777" w:rsidTr="00712D81">
        <w:tc>
          <w:tcPr>
            <w:tcW w:w="3539" w:type="dxa"/>
            <w:vAlign w:val="bottom"/>
          </w:tcPr>
          <w:p w14:paraId="7DB3A757" w14:textId="77777777" w:rsidR="002765DF" w:rsidRPr="00651CA4" w:rsidRDefault="002765DF" w:rsidP="00712D81">
            <w:pPr>
              <w:rPr>
                <w:rFonts w:ascii="Calibri" w:hAnsi="Calibri" w:cs="Calibri"/>
                <w:sz w:val="24"/>
                <w:szCs w:val="24"/>
              </w:rPr>
            </w:pPr>
            <w:r>
              <w:rPr>
                <w:rFonts w:ascii="Arial" w:hAnsi="Arial" w:cs="Arial"/>
                <w:sz w:val="20"/>
                <w:szCs w:val="20"/>
              </w:rPr>
              <w:t>Islington</w:t>
            </w:r>
          </w:p>
        </w:tc>
        <w:tc>
          <w:tcPr>
            <w:tcW w:w="4253" w:type="dxa"/>
            <w:vAlign w:val="bottom"/>
          </w:tcPr>
          <w:p w14:paraId="7027AC43"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43.4%</w:t>
            </w:r>
          </w:p>
        </w:tc>
      </w:tr>
      <w:tr w:rsidR="002765DF" w:rsidRPr="00165B05" w14:paraId="11D106BA" w14:textId="77777777" w:rsidTr="00712D81">
        <w:tc>
          <w:tcPr>
            <w:tcW w:w="3539" w:type="dxa"/>
            <w:vAlign w:val="bottom"/>
          </w:tcPr>
          <w:p w14:paraId="0B970ED1" w14:textId="77777777" w:rsidR="002765DF" w:rsidRPr="00651CA4" w:rsidRDefault="002765DF" w:rsidP="00712D81">
            <w:pPr>
              <w:rPr>
                <w:rFonts w:ascii="Calibri" w:eastAsia="Times New Roman" w:hAnsi="Calibri" w:cs="Calibri"/>
                <w:sz w:val="24"/>
                <w:szCs w:val="24"/>
                <w:lang w:eastAsia="en-GB"/>
              </w:rPr>
            </w:pPr>
            <w:r>
              <w:rPr>
                <w:rFonts w:ascii="Arial" w:hAnsi="Arial" w:cs="Arial"/>
                <w:sz w:val="20"/>
                <w:szCs w:val="20"/>
              </w:rPr>
              <w:t>Greenwich</w:t>
            </w:r>
          </w:p>
        </w:tc>
        <w:tc>
          <w:tcPr>
            <w:tcW w:w="4253" w:type="dxa"/>
            <w:vAlign w:val="bottom"/>
          </w:tcPr>
          <w:p w14:paraId="3D200E4A"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43.2%</w:t>
            </w:r>
          </w:p>
        </w:tc>
      </w:tr>
      <w:tr w:rsidR="002765DF" w:rsidRPr="00165B05" w14:paraId="32FDE537" w14:textId="77777777" w:rsidTr="00712D81">
        <w:tc>
          <w:tcPr>
            <w:tcW w:w="3539" w:type="dxa"/>
            <w:vAlign w:val="bottom"/>
          </w:tcPr>
          <w:p w14:paraId="1AFBB8E2" w14:textId="77777777" w:rsidR="002765DF" w:rsidRPr="00651CA4" w:rsidRDefault="002765DF" w:rsidP="00712D81">
            <w:pPr>
              <w:rPr>
                <w:rFonts w:ascii="Calibri" w:eastAsia="Times New Roman" w:hAnsi="Calibri" w:cs="Calibri"/>
                <w:sz w:val="24"/>
                <w:szCs w:val="24"/>
                <w:lang w:eastAsia="en-GB"/>
              </w:rPr>
            </w:pPr>
            <w:r>
              <w:rPr>
                <w:rFonts w:ascii="Arial" w:hAnsi="Arial" w:cs="Arial"/>
                <w:sz w:val="20"/>
                <w:szCs w:val="20"/>
              </w:rPr>
              <w:t>Lambeth</w:t>
            </w:r>
          </w:p>
        </w:tc>
        <w:tc>
          <w:tcPr>
            <w:tcW w:w="4253" w:type="dxa"/>
            <w:vAlign w:val="bottom"/>
          </w:tcPr>
          <w:p w14:paraId="45F06921"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43.0%</w:t>
            </w:r>
          </w:p>
        </w:tc>
      </w:tr>
      <w:tr w:rsidR="002765DF" w:rsidRPr="00165B05" w14:paraId="28D00050" w14:textId="77777777" w:rsidTr="00712D81">
        <w:tc>
          <w:tcPr>
            <w:tcW w:w="3539" w:type="dxa"/>
            <w:vAlign w:val="bottom"/>
          </w:tcPr>
          <w:p w14:paraId="514F3ABB" w14:textId="77777777" w:rsidR="002765DF" w:rsidRPr="00651CA4" w:rsidRDefault="002765DF" w:rsidP="00712D81">
            <w:pPr>
              <w:rPr>
                <w:rFonts w:ascii="Calibri" w:eastAsia="Times New Roman" w:hAnsi="Calibri" w:cs="Calibri"/>
                <w:sz w:val="24"/>
                <w:szCs w:val="24"/>
                <w:lang w:eastAsia="en-GB"/>
              </w:rPr>
            </w:pPr>
            <w:r>
              <w:rPr>
                <w:rFonts w:ascii="Arial" w:hAnsi="Arial" w:cs="Arial"/>
                <w:sz w:val="20"/>
                <w:szCs w:val="20"/>
              </w:rPr>
              <w:t>Haringey</w:t>
            </w:r>
          </w:p>
        </w:tc>
        <w:tc>
          <w:tcPr>
            <w:tcW w:w="4253" w:type="dxa"/>
            <w:vAlign w:val="bottom"/>
          </w:tcPr>
          <w:p w14:paraId="678D0A46"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42.4%</w:t>
            </w:r>
          </w:p>
        </w:tc>
      </w:tr>
      <w:tr w:rsidR="002765DF" w:rsidRPr="00165B05" w14:paraId="02DF7503" w14:textId="77777777" w:rsidTr="00712D81">
        <w:tc>
          <w:tcPr>
            <w:tcW w:w="3539" w:type="dxa"/>
            <w:vAlign w:val="bottom"/>
          </w:tcPr>
          <w:p w14:paraId="4EA8D195" w14:textId="77777777" w:rsidR="002765DF" w:rsidRPr="00651CA4" w:rsidRDefault="002765DF" w:rsidP="00712D81">
            <w:pPr>
              <w:rPr>
                <w:rFonts w:ascii="Calibri" w:eastAsia="Times New Roman" w:hAnsi="Calibri" w:cs="Calibri"/>
                <w:sz w:val="24"/>
                <w:szCs w:val="24"/>
                <w:lang w:eastAsia="en-GB"/>
              </w:rPr>
            </w:pPr>
            <w:r>
              <w:rPr>
                <w:rFonts w:ascii="Arial" w:hAnsi="Arial" w:cs="Arial"/>
                <w:sz w:val="20"/>
                <w:szCs w:val="20"/>
              </w:rPr>
              <w:t>Lewisham</w:t>
            </w:r>
          </w:p>
        </w:tc>
        <w:tc>
          <w:tcPr>
            <w:tcW w:w="4253" w:type="dxa"/>
            <w:vAlign w:val="bottom"/>
          </w:tcPr>
          <w:p w14:paraId="3D7D16C6"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42.0%</w:t>
            </w:r>
          </w:p>
        </w:tc>
      </w:tr>
      <w:tr w:rsidR="002765DF" w:rsidRPr="00165B05" w14:paraId="51221581" w14:textId="77777777" w:rsidTr="00712D81">
        <w:tc>
          <w:tcPr>
            <w:tcW w:w="3539" w:type="dxa"/>
            <w:vAlign w:val="bottom"/>
          </w:tcPr>
          <w:p w14:paraId="5198A7B7" w14:textId="77777777" w:rsidR="002765DF" w:rsidRPr="00651CA4" w:rsidRDefault="002765DF" w:rsidP="00712D81">
            <w:pPr>
              <w:rPr>
                <w:rFonts w:ascii="Calibri" w:eastAsia="Times New Roman" w:hAnsi="Calibri" w:cs="Calibri"/>
                <w:sz w:val="24"/>
                <w:szCs w:val="24"/>
                <w:lang w:eastAsia="en-GB"/>
              </w:rPr>
            </w:pPr>
            <w:r>
              <w:rPr>
                <w:rFonts w:ascii="Arial" w:hAnsi="Arial" w:cs="Arial"/>
                <w:sz w:val="20"/>
                <w:szCs w:val="20"/>
              </w:rPr>
              <w:t>Birmingham</w:t>
            </w:r>
          </w:p>
        </w:tc>
        <w:tc>
          <w:tcPr>
            <w:tcW w:w="4253" w:type="dxa"/>
            <w:vAlign w:val="bottom"/>
          </w:tcPr>
          <w:p w14:paraId="6866F717"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41.6%</w:t>
            </w:r>
          </w:p>
        </w:tc>
      </w:tr>
      <w:tr w:rsidR="002765DF" w:rsidRPr="00165B05" w14:paraId="3D9C464E" w14:textId="77777777" w:rsidTr="00712D81">
        <w:tc>
          <w:tcPr>
            <w:tcW w:w="3539" w:type="dxa"/>
            <w:vAlign w:val="bottom"/>
          </w:tcPr>
          <w:p w14:paraId="239FE223" w14:textId="77777777" w:rsidR="002765DF" w:rsidRPr="00651CA4" w:rsidRDefault="002765DF" w:rsidP="00712D81">
            <w:pPr>
              <w:rPr>
                <w:rFonts w:ascii="Calibri" w:eastAsia="Times New Roman" w:hAnsi="Calibri" w:cs="Calibri"/>
                <w:sz w:val="24"/>
                <w:szCs w:val="24"/>
                <w:lang w:eastAsia="en-GB"/>
              </w:rPr>
            </w:pPr>
            <w:r>
              <w:rPr>
                <w:rFonts w:ascii="Arial" w:hAnsi="Arial" w:cs="Arial"/>
                <w:sz w:val="20"/>
                <w:szCs w:val="20"/>
              </w:rPr>
              <w:t>Redbridge</w:t>
            </w:r>
          </w:p>
        </w:tc>
        <w:tc>
          <w:tcPr>
            <w:tcW w:w="4253" w:type="dxa"/>
            <w:vAlign w:val="bottom"/>
          </w:tcPr>
          <w:p w14:paraId="47B31E40"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41.3%</w:t>
            </w:r>
          </w:p>
        </w:tc>
      </w:tr>
      <w:tr w:rsidR="002765DF" w:rsidRPr="00165B05" w14:paraId="2773B9A2" w14:textId="77777777" w:rsidTr="00712D81">
        <w:tc>
          <w:tcPr>
            <w:tcW w:w="3539" w:type="dxa"/>
            <w:vAlign w:val="bottom"/>
          </w:tcPr>
          <w:p w14:paraId="2F41FBFF" w14:textId="77777777" w:rsidR="002765DF" w:rsidRPr="00651CA4" w:rsidRDefault="002765DF" w:rsidP="00712D81">
            <w:pPr>
              <w:rPr>
                <w:rFonts w:ascii="Calibri" w:eastAsia="Times New Roman" w:hAnsi="Calibri" w:cs="Calibri"/>
                <w:sz w:val="24"/>
                <w:szCs w:val="24"/>
                <w:lang w:eastAsia="en-GB"/>
              </w:rPr>
            </w:pPr>
            <w:r>
              <w:rPr>
                <w:rFonts w:ascii="Arial" w:hAnsi="Arial" w:cs="Arial"/>
                <w:sz w:val="20"/>
                <w:szCs w:val="20"/>
              </w:rPr>
              <w:t>Middlesbrough</w:t>
            </w:r>
          </w:p>
        </w:tc>
        <w:tc>
          <w:tcPr>
            <w:tcW w:w="4253" w:type="dxa"/>
            <w:vAlign w:val="bottom"/>
          </w:tcPr>
          <w:p w14:paraId="116D416D"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41.1%</w:t>
            </w:r>
          </w:p>
        </w:tc>
      </w:tr>
      <w:tr w:rsidR="002765DF" w:rsidRPr="00165B05" w14:paraId="17A516E5" w14:textId="77777777" w:rsidTr="00712D81">
        <w:tc>
          <w:tcPr>
            <w:tcW w:w="3539" w:type="dxa"/>
            <w:vAlign w:val="bottom"/>
          </w:tcPr>
          <w:p w14:paraId="1DA536D3" w14:textId="77777777" w:rsidR="002765DF" w:rsidRPr="00651CA4" w:rsidRDefault="002765DF" w:rsidP="00712D81">
            <w:pPr>
              <w:rPr>
                <w:rFonts w:ascii="Calibri" w:eastAsia="Times New Roman" w:hAnsi="Calibri" w:cs="Calibri"/>
                <w:sz w:val="24"/>
                <w:szCs w:val="24"/>
                <w:lang w:eastAsia="en-GB"/>
              </w:rPr>
            </w:pPr>
            <w:r>
              <w:rPr>
                <w:rFonts w:ascii="Arial" w:hAnsi="Arial" w:cs="Arial"/>
                <w:sz w:val="20"/>
                <w:szCs w:val="20"/>
              </w:rPr>
              <w:t>Brent</w:t>
            </w:r>
          </w:p>
        </w:tc>
        <w:tc>
          <w:tcPr>
            <w:tcW w:w="4253" w:type="dxa"/>
            <w:vAlign w:val="bottom"/>
          </w:tcPr>
          <w:p w14:paraId="6634EE41"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40.8%</w:t>
            </w:r>
          </w:p>
        </w:tc>
      </w:tr>
      <w:tr w:rsidR="002765DF" w:rsidRPr="00165B05" w14:paraId="6514986A" w14:textId="77777777" w:rsidTr="00712D81">
        <w:tc>
          <w:tcPr>
            <w:tcW w:w="3539" w:type="dxa"/>
            <w:vAlign w:val="bottom"/>
          </w:tcPr>
          <w:p w14:paraId="336C1C85" w14:textId="77777777" w:rsidR="002765DF" w:rsidRPr="00651CA4" w:rsidRDefault="002765DF" w:rsidP="00712D81">
            <w:pPr>
              <w:rPr>
                <w:rFonts w:ascii="Calibri" w:eastAsia="Times New Roman" w:hAnsi="Calibri" w:cs="Calibri"/>
                <w:sz w:val="24"/>
                <w:szCs w:val="24"/>
                <w:lang w:eastAsia="en-GB"/>
              </w:rPr>
            </w:pPr>
            <w:r>
              <w:rPr>
                <w:rFonts w:ascii="Arial" w:hAnsi="Arial" w:cs="Arial"/>
                <w:sz w:val="20"/>
                <w:szCs w:val="20"/>
              </w:rPr>
              <w:t>Hounslow</w:t>
            </w:r>
          </w:p>
        </w:tc>
        <w:tc>
          <w:tcPr>
            <w:tcW w:w="4253" w:type="dxa"/>
            <w:vAlign w:val="bottom"/>
          </w:tcPr>
          <w:p w14:paraId="558EDF2D"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40.8%</w:t>
            </w:r>
          </w:p>
        </w:tc>
      </w:tr>
      <w:tr w:rsidR="002765DF" w:rsidRPr="00165B05" w14:paraId="175A2C0A" w14:textId="77777777" w:rsidTr="00712D81">
        <w:tc>
          <w:tcPr>
            <w:tcW w:w="3539" w:type="dxa"/>
            <w:vAlign w:val="bottom"/>
          </w:tcPr>
          <w:p w14:paraId="6227F6E5" w14:textId="77777777" w:rsidR="002765DF" w:rsidRPr="00651CA4" w:rsidRDefault="002765DF" w:rsidP="00712D81">
            <w:pPr>
              <w:rPr>
                <w:rFonts w:ascii="Calibri" w:eastAsia="Times New Roman" w:hAnsi="Calibri" w:cs="Calibri"/>
                <w:sz w:val="24"/>
                <w:szCs w:val="24"/>
                <w:lang w:eastAsia="en-GB"/>
              </w:rPr>
            </w:pPr>
            <w:r>
              <w:rPr>
                <w:rFonts w:ascii="Arial" w:hAnsi="Arial" w:cs="Arial"/>
                <w:sz w:val="20"/>
                <w:szCs w:val="20"/>
              </w:rPr>
              <w:t>Manchester</w:t>
            </w:r>
          </w:p>
        </w:tc>
        <w:tc>
          <w:tcPr>
            <w:tcW w:w="4253" w:type="dxa"/>
            <w:vAlign w:val="bottom"/>
          </w:tcPr>
          <w:p w14:paraId="3237879C"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40.6%</w:t>
            </w:r>
          </w:p>
        </w:tc>
      </w:tr>
      <w:tr w:rsidR="002765DF" w:rsidRPr="00165B05" w14:paraId="5EDD6A4B" w14:textId="77777777" w:rsidTr="00712D81">
        <w:tc>
          <w:tcPr>
            <w:tcW w:w="3539" w:type="dxa"/>
            <w:vAlign w:val="bottom"/>
          </w:tcPr>
          <w:p w14:paraId="7958303B" w14:textId="77777777" w:rsidR="002765DF" w:rsidRPr="00651CA4" w:rsidRDefault="002765DF" w:rsidP="00712D81">
            <w:pPr>
              <w:rPr>
                <w:rFonts w:ascii="Calibri" w:eastAsia="Times New Roman" w:hAnsi="Calibri" w:cs="Calibri"/>
                <w:sz w:val="24"/>
                <w:szCs w:val="24"/>
                <w:lang w:eastAsia="en-GB"/>
              </w:rPr>
            </w:pPr>
            <w:r>
              <w:rPr>
                <w:rFonts w:ascii="Arial" w:hAnsi="Arial" w:cs="Arial"/>
                <w:sz w:val="20"/>
                <w:szCs w:val="20"/>
              </w:rPr>
              <w:t>Sandwell</w:t>
            </w:r>
          </w:p>
        </w:tc>
        <w:tc>
          <w:tcPr>
            <w:tcW w:w="4253" w:type="dxa"/>
            <w:vAlign w:val="bottom"/>
          </w:tcPr>
          <w:p w14:paraId="473F34E7"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40.4%</w:t>
            </w:r>
          </w:p>
        </w:tc>
      </w:tr>
      <w:tr w:rsidR="002765DF" w:rsidRPr="00165B05" w14:paraId="58EA5DCD" w14:textId="77777777" w:rsidTr="00712D81">
        <w:tc>
          <w:tcPr>
            <w:tcW w:w="3539" w:type="dxa"/>
            <w:vAlign w:val="bottom"/>
          </w:tcPr>
          <w:p w14:paraId="6F439A0E" w14:textId="77777777" w:rsidR="002765DF" w:rsidRPr="00651CA4" w:rsidRDefault="002765DF" w:rsidP="00712D81">
            <w:pPr>
              <w:rPr>
                <w:rFonts w:ascii="Calibri" w:eastAsia="Times New Roman" w:hAnsi="Calibri" w:cs="Calibri"/>
                <w:sz w:val="24"/>
                <w:szCs w:val="24"/>
                <w:lang w:eastAsia="en-GB"/>
              </w:rPr>
            </w:pPr>
            <w:r>
              <w:rPr>
                <w:rFonts w:ascii="Arial" w:hAnsi="Arial" w:cs="Arial"/>
                <w:sz w:val="20"/>
                <w:szCs w:val="20"/>
              </w:rPr>
              <w:t>Oldham</w:t>
            </w:r>
          </w:p>
        </w:tc>
        <w:tc>
          <w:tcPr>
            <w:tcW w:w="4253" w:type="dxa"/>
            <w:vAlign w:val="bottom"/>
          </w:tcPr>
          <w:p w14:paraId="0F7A10FC"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39.9%</w:t>
            </w:r>
          </w:p>
        </w:tc>
      </w:tr>
      <w:tr w:rsidR="002765DF" w:rsidRPr="00165B05" w14:paraId="56CE8C5B" w14:textId="77777777" w:rsidTr="00712D81">
        <w:tc>
          <w:tcPr>
            <w:tcW w:w="3539" w:type="dxa"/>
            <w:vAlign w:val="bottom"/>
          </w:tcPr>
          <w:p w14:paraId="321D5B8A" w14:textId="77777777" w:rsidR="002765DF" w:rsidRPr="00651CA4" w:rsidRDefault="002765DF" w:rsidP="00712D81">
            <w:pPr>
              <w:rPr>
                <w:rFonts w:ascii="Calibri" w:eastAsia="Times New Roman" w:hAnsi="Calibri" w:cs="Calibri"/>
                <w:sz w:val="24"/>
                <w:szCs w:val="24"/>
                <w:lang w:eastAsia="en-GB"/>
              </w:rPr>
            </w:pPr>
            <w:r>
              <w:rPr>
                <w:rFonts w:ascii="Arial" w:hAnsi="Arial" w:cs="Arial"/>
                <w:sz w:val="20"/>
                <w:szCs w:val="20"/>
              </w:rPr>
              <w:t>Luton</w:t>
            </w:r>
          </w:p>
        </w:tc>
        <w:tc>
          <w:tcPr>
            <w:tcW w:w="4253" w:type="dxa"/>
            <w:vAlign w:val="bottom"/>
          </w:tcPr>
          <w:p w14:paraId="2B4D7D59"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39.8%</w:t>
            </w:r>
          </w:p>
        </w:tc>
      </w:tr>
    </w:tbl>
    <w:p w14:paraId="4CEB74C5" w14:textId="77777777" w:rsidR="002765DF" w:rsidRDefault="002765DF" w:rsidP="002765DF">
      <w:pPr>
        <w:spacing w:after="0" w:line="240" w:lineRule="auto"/>
        <w:ind w:left="1440" w:hanging="1440"/>
        <w:rPr>
          <w:b/>
          <w:bCs/>
          <w:sz w:val="24"/>
          <w:szCs w:val="24"/>
        </w:rPr>
      </w:pPr>
    </w:p>
    <w:p w14:paraId="7FEB911D" w14:textId="7260D8BB" w:rsidR="00210CCF" w:rsidRDefault="00210CCF">
      <w:pPr>
        <w:rPr>
          <w:b/>
          <w:bCs/>
          <w:sz w:val="24"/>
          <w:szCs w:val="24"/>
        </w:rPr>
      </w:pPr>
      <w:r>
        <w:rPr>
          <w:b/>
          <w:bCs/>
          <w:sz w:val="24"/>
          <w:szCs w:val="24"/>
        </w:rPr>
        <w:br w:type="page"/>
      </w:r>
    </w:p>
    <w:p w14:paraId="086760D8" w14:textId="77777777" w:rsidR="002765DF" w:rsidRDefault="002765DF" w:rsidP="002765DF">
      <w:pPr>
        <w:spacing w:after="0" w:line="240" w:lineRule="auto"/>
        <w:ind w:left="1440" w:hanging="1440"/>
        <w:rPr>
          <w:b/>
          <w:bCs/>
          <w:sz w:val="24"/>
          <w:szCs w:val="24"/>
        </w:rPr>
      </w:pPr>
    </w:p>
    <w:p w14:paraId="0B2B06CA" w14:textId="43D0205B" w:rsidR="002765DF" w:rsidRDefault="002765DF" w:rsidP="002765DF">
      <w:pPr>
        <w:spacing w:after="0" w:line="240" w:lineRule="auto"/>
        <w:ind w:left="1440" w:hanging="1440"/>
        <w:rPr>
          <w:b/>
          <w:bCs/>
          <w:sz w:val="24"/>
          <w:szCs w:val="24"/>
        </w:rPr>
      </w:pPr>
      <w:r w:rsidRPr="00165B05">
        <w:rPr>
          <w:b/>
          <w:bCs/>
          <w:sz w:val="24"/>
          <w:szCs w:val="24"/>
        </w:rPr>
        <w:t xml:space="preserve">Table </w:t>
      </w:r>
      <w:r>
        <w:rPr>
          <w:b/>
          <w:bCs/>
          <w:sz w:val="24"/>
          <w:szCs w:val="24"/>
        </w:rPr>
        <w:t>2</w:t>
      </w:r>
      <w:r w:rsidRPr="00165B05">
        <w:rPr>
          <w:b/>
          <w:bCs/>
          <w:sz w:val="24"/>
          <w:szCs w:val="24"/>
        </w:rPr>
        <w:tab/>
        <w:t xml:space="preserve">The 20 parliamentary constituencies with </w:t>
      </w:r>
      <w:r>
        <w:rPr>
          <w:b/>
          <w:bCs/>
          <w:sz w:val="24"/>
          <w:szCs w:val="24"/>
        </w:rPr>
        <w:t xml:space="preserve">highest child poverty rates, </w:t>
      </w:r>
      <w:r w:rsidRPr="00165B05">
        <w:rPr>
          <w:b/>
          <w:bCs/>
          <w:sz w:val="24"/>
          <w:szCs w:val="24"/>
        </w:rPr>
        <w:t>2018/19</w:t>
      </w:r>
    </w:p>
    <w:p w14:paraId="227628D0" w14:textId="77777777" w:rsidR="00FD1025" w:rsidRDefault="00FD1025" w:rsidP="002765DF">
      <w:pPr>
        <w:spacing w:after="0" w:line="240" w:lineRule="auto"/>
        <w:ind w:left="1440" w:hanging="1440"/>
        <w:rPr>
          <w:b/>
          <w:bCs/>
          <w:sz w:val="24"/>
          <w:szCs w:val="24"/>
        </w:rPr>
      </w:pPr>
    </w:p>
    <w:tbl>
      <w:tblPr>
        <w:tblStyle w:val="TableGrid"/>
        <w:tblW w:w="0" w:type="auto"/>
        <w:tblLook w:val="04A0" w:firstRow="1" w:lastRow="0" w:firstColumn="1" w:lastColumn="0" w:noHBand="0" w:noVBand="1"/>
      </w:tblPr>
      <w:tblGrid>
        <w:gridCol w:w="3539"/>
        <w:gridCol w:w="3686"/>
      </w:tblGrid>
      <w:tr w:rsidR="002765DF" w:rsidRPr="00165B05" w14:paraId="5DB9CD05" w14:textId="77777777" w:rsidTr="00712D81">
        <w:tc>
          <w:tcPr>
            <w:tcW w:w="3539" w:type="dxa"/>
            <w:shd w:val="clear" w:color="auto" w:fill="B4C6E7" w:themeFill="accent1" w:themeFillTint="66"/>
          </w:tcPr>
          <w:p w14:paraId="0CB0339A" w14:textId="77777777" w:rsidR="002765DF" w:rsidRPr="009C5995" w:rsidRDefault="002765DF" w:rsidP="00712D81">
            <w:pPr>
              <w:rPr>
                <w:rFonts w:ascii="Calibri" w:eastAsia="Times New Roman" w:hAnsi="Calibri" w:cs="Calibri"/>
                <w:b/>
                <w:bCs/>
                <w:sz w:val="24"/>
                <w:szCs w:val="24"/>
                <w:lang w:eastAsia="en-GB"/>
              </w:rPr>
            </w:pPr>
            <w:r w:rsidRPr="009C5995">
              <w:rPr>
                <w:rFonts w:ascii="Calibri" w:eastAsia="Times New Roman" w:hAnsi="Calibri" w:cs="Calibri"/>
                <w:b/>
                <w:bCs/>
                <w:sz w:val="24"/>
                <w:szCs w:val="24"/>
                <w:lang w:eastAsia="en-GB"/>
              </w:rPr>
              <w:t>Constituency</w:t>
            </w:r>
          </w:p>
        </w:tc>
        <w:tc>
          <w:tcPr>
            <w:tcW w:w="3686" w:type="dxa"/>
            <w:shd w:val="clear" w:color="auto" w:fill="B4C6E7" w:themeFill="accent1" w:themeFillTint="66"/>
          </w:tcPr>
          <w:p w14:paraId="5EB8419B" w14:textId="77777777" w:rsidR="002765DF" w:rsidRPr="009C5995" w:rsidRDefault="002765DF" w:rsidP="00712D81">
            <w:pPr>
              <w:jc w:val="center"/>
              <w:rPr>
                <w:rFonts w:ascii="Calibri" w:eastAsia="Times New Roman" w:hAnsi="Calibri" w:cs="Calibri"/>
                <w:b/>
                <w:bCs/>
                <w:sz w:val="24"/>
                <w:szCs w:val="24"/>
                <w:lang w:eastAsia="en-GB"/>
              </w:rPr>
            </w:pPr>
            <w:r w:rsidRPr="009C5995">
              <w:rPr>
                <w:rFonts w:ascii="Calibri" w:eastAsia="Times New Roman" w:hAnsi="Calibri" w:cs="Calibri"/>
                <w:b/>
                <w:bCs/>
                <w:sz w:val="24"/>
                <w:szCs w:val="24"/>
                <w:lang w:eastAsia="en-GB"/>
              </w:rPr>
              <w:t>% of children below 60% median income after housing costs, 2018/19</w:t>
            </w:r>
          </w:p>
        </w:tc>
      </w:tr>
      <w:tr w:rsidR="002765DF" w:rsidRPr="00165B05" w14:paraId="5269ECC5" w14:textId="77777777" w:rsidTr="00712D81">
        <w:tc>
          <w:tcPr>
            <w:tcW w:w="3539" w:type="dxa"/>
          </w:tcPr>
          <w:p w14:paraId="3BFB205E" w14:textId="49463BBC" w:rsidR="002765DF" w:rsidRPr="00210CCF" w:rsidRDefault="00210CCF" w:rsidP="00712D81">
            <w:pPr>
              <w:rPr>
                <w:rFonts w:ascii="Calibri" w:hAnsi="Calibri" w:cs="Calibri"/>
                <w:b/>
                <w:bCs/>
                <w:sz w:val="24"/>
                <w:szCs w:val="24"/>
              </w:rPr>
            </w:pPr>
            <w:r>
              <w:rPr>
                <w:rFonts w:ascii="Calibri" w:hAnsi="Calibri" w:cs="Calibri"/>
                <w:b/>
                <w:bCs/>
                <w:sz w:val="24"/>
                <w:szCs w:val="24"/>
              </w:rPr>
              <w:t>UK</w:t>
            </w:r>
          </w:p>
        </w:tc>
        <w:tc>
          <w:tcPr>
            <w:tcW w:w="3686" w:type="dxa"/>
          </w:tcPr>
          <w:p w14:paraId="2C15910A" w14:textId="163E9D4E" w:rsidR="002765DF" w:rsidRPr="00651CA4" w:rsidRDefault="00210CCF" w:rsidP="00FD1025">
            <w:pPr>
              <w:tabs>
                <w:tab w:val="decimal" w:pos="552"/>
              </w:tabs>
              <w:jc w:val="center"/>
              <w:rPr>
                <w:rFonts w:ascii="Calibri" w:hAnsi="Calibri" w:cs="Calibri"/>
                <w:sz w:val="24"/>
                <w:szCs w:val="24"/>
              </w:rPr>
            </w:pPr>
            <w:r>
              <w:rPr>
                <w:rFonts w:ascii="Calibri" w:eastAsia="Times New Roman" w:hAnsi="Calibri" w:cs="Calibri"/>
                <w:b/>
                <w:bCs/>
                <w:sz w:val="24"/>
                <w:szCs w:val="24"/>
                <w:lang w:eastAsia="en-GB"/>
              </w:rPr>
              <w:t>30</w:t>
            </w:r>
            <w:r w:rsidR="002765DF" w:rsidRPr="00651CA4">
              <w:rPr>
                <w:rFonts w:ascii="Calibri" w:eastAsia="Times New Roman" w:hAnsi="Calibri" w:cs="Calibri"/>
                <w:b/>
                <w:bCs/>
                <w:sz w:val="24"/>
                <w:szCs w:val="24"/>
                <w:lang w:eastAsia="en-GB"/>
              </w:rPr>
              <w:t>%</w:t>
            </w:r>
          </w:p>
        </w:tc>
      </w:tr>
      <w:tr w:rsidR="002765DF" w:rsidRPr="00165B05" w14:paraId="5DC96E6A" w14:textId="77777777" w:rsidTr="00712D81">
        <w:tc>
          <w:tcPr>
            <w:tcW w:w="3539" w:type="dxa"/>
            <w:vAlign w:val="bottom"/>
          </w:tcPr>
          <w:p w14:paraId="44AD2DFD" w14:textId="77777777" w:rsidR="002765DF" w:rsidRPr="00651CA4" w:rsidRDefault="002765DF" w:rsidP="00712D81">
            <w:pPr>
              <w:rPr>
                <w:rFonts w:ascii="Calibri" w:hAnsi="Calibri" w:cs="Calibri"/>
                <w:sz w:val="24"/>
                <w:szCs w:val="24"/>
              </w:rPr>
            </w:pPr>
            <w:r>
              <w:rPr>
                <w:rFonts w:ascii="Arial" w:hAnsi="Arial" w:cs="Arial"/>
                <w:sz w:val="20"/>
                <w:szCs w:val="20"/>
              </w:rPr>
              <w:t xml:space="preserve">Bethnal Green and Bow </w:t>
            </w:r>
          </w:p>
        </w:tc>
        <w:tc>
          <w:tcPr>
            <w:tcW w:w="3686" w:type="dxa"/>
            <w:vAlign w:val="bottom"/>
          </w:tcPr>
          <w:p w14:paraId="42CA1661"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60.6%</w:t>
            </w:r>
          </w:p>
        </w:tc>
      </w:tr>
      <w:tr w:rsidR="002765DF" w:rsidRPr="00165B05" w14:paraId="3D7F8515" w14:textId="77777777" w:rsidTr="00712D81">
        <w:tc>
          <w:tcPr>
            <w:tcW w:w="3539" w:type="dxa"/>
            <w:vAlign w:val="bottom"/>
          </w:tcPr>
          <w:p w14:paraId="139DB6EC" w14:textId="77777777" w:rsidR="002765DF" w:rsidRPr="00651CA4" w:rsidRDefault="002765DF" w:rsidP="00712D81">
            <w:pPr>
              <w:rPr>
                <w:rFonts w:ascii="Calibri" w:hAnsi="Calibri" w:cs="Calibri"/>
                <w:sz w:val="24"/>
                <w:szCs w:val="24"/>
              </w:rPr>
            </w:pPr>
            <w:r>
              <w:rPr>
                <w:rFonts w:ascii="Arial" w:hAnsi="Arial" w:cs="Arial"/>
                <w:sz w:val="20"/>
                <w:szCs w:val="20"/>
              </w:rPr>
              <w:t xml:space="preserve">Birmingham Ladywood </w:t>
            </w:r>
          </w:p>
        </w:tc>
        <w:tc>
          <w:tcPr>
            <w:tcW w:w="3686" w:type="dxa"/>
            <w:vAlign w:val="bottom"/>
          </w:tcPr>
          <w:p w14:paraId="247F2A1E"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54.5%</w:t>
            </w:r>
          </w:p>
        </w:tc>
      </w:tr>
      <w:tr w:rsidR="002765DF" w:rsidRPr="00165B05" w14:paraId="672F5EB1" w14:textId="77777777" w:rsidTr="00712D81">
        <w:tc>
          <w:tcPr>
            <w:tcW w:w="3539" w:type="dxa"/>
            <w:vAlign w:val="bottom"/>
          </w:tcPr>
          <w:p w14:paraId="60215BB5" w14:textId="77777777" w:rsidR="002765DF" w:rsidRPr="00651CA4" w:rsidRDefault="002765DF" w:rsidP="00712D81">
            <w:pPr>
              <w:rPr>
                <w:rFonts w:ascii="Calibri" w:hAnsi="Calibri" w:cs="Calibri"/>
                <w:sz w:val="24"/>
                <w:szCs w:val="24"/>
              </w:rPr>
            </w:pPr>
            <w:r>
              <w:rPr>
                <w:rFonts w:ascii="Arial" w:hAnsi="Arial" w:cs="Arial"/>
                <w:sz w:val="20"/>
                <w:szCs w:val="20"/>
              </w:rPr>
              <w:t xml:space="preserve">Birmingham Hodge Hill </w:t>
            </w:r>
          </w:p>
        </w:tc>
        <w:tc>
          <w:tcPr>
            <w:tcW w:w="3686" w:type="dxa"/>
            <w:vAlign w:val="bottom"/>
          </w:tcPr>
          <w:p w14:paraId="7AC809DD"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53.8%</w:t>
            </w:r>
          </w:p>
        </w:tc>
      </w:tr>
      <w:tr w:rsidR="002765DF" w:rsidRPr="00165B05" w14:paraId="570D31F4" w14:textId="77777777" w:rsidTr="00712D81">
        <w:tc>
          <w:tcPr>
            <w:tcW w:w="3539" w:type="dxa"/>
            <w:vAlign w:val="bottom"/>
          </w:tcPr>
          <w:p w14:paraId="1F508C70" w14:textId="77777777" w:rsidR="002765DF" w:rsidRPr="00651CA4" w:rsidRDefault="002765DF" w:rsidP="00712D81">
            <w:pPr>
              <w:rPr>
                <w:rFonts w:ascii="Calibri" w:hAnsi="Calibri" w:cs="Calibri"/>
                <w:sz w:val="24"/>
                <w:szCs w:val="24"/>
              </w:rPr>
            </w:pPr>
            <w:r>
              <w:rPr>
                <w:rFonts w:ascii="Arial" w:hAnsi="Arial" w:cs="Arial"/>
                <w:sz w:val="20"/>
                <w:szCs w:val="20"/>
              </w:rPr>
              <w:t xml:space="preserve">West Ham  </w:t>
            </w:r>
          </w:p>
        </w:tc>
        <w:tc>
          <w:tcPr>
            <w:tcW w:w="3686" w:type="dxa"/>
            <w:vAlign w:val="bottom"/>
          </w:tcPr>
          <w:p w14:paraId="702859E2"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52.5%</w:t>
            </w:r>
          </w:p>
        </w:tc>
      </w:tr>
      <w:tr w:rsidR="002765DF" w:rsidRPr="00165B05" w14:paraId="7DB6F25C" w14:textId="77777777" w:rsidTr="00712D81">
        <w:tc>
          <w:tcPr>
            <w:tcW w:w="3539" w:type="dxa"/>
            <w:vAlign w:val="bottom"/>
          </w:tcPr>
          <w:p w14:paraId="30424B69" w14:textId="77777777" w:rsidR="002765DF" w:rsidRPr="00651CA4" w:rsidRDefault="002765DF" w:rsidP="00712D81">
            <w:pPr>
              <w:rPr>
                <w:rFonts w:ascii="Calibri" w:hAnsi="Calibri" w:cs="Calibri"/>
                <w:sz w:val="24"/>
                <w:szCs w:val="24"/>
              </w:rPr>
            </w:pPr>
            <w:r>
              <w:rPr>
                <w:rFonts w:ascii="Arial" w:hAnsi="Arial" w:cs="Arial"/>
                <w:sz w:val="20"/>
                <w:szCs w:val="20"/>
              </w:rPr>
              <w:t xml:space="preserve">Birmingham Hall Green </w:t>
            </w:r>
          </w:p>
        </w:tc>
        <w:tc>
          <w:tcPr>
            <w:tcW w:w="3686" w:type="dxa"/>
            <w:vAlign w:val="bottom"/>
          </w:tcPr>
          <w:p w14:paraId="7A53D8F4"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52.5%</w:t>
            </w:r>
          </w:p>
        </w:tc>
      </w:tr>
      <w:tr w:rsidR="002765DF" w:rsidRPr="00165B05" w14:paraId="448C74D3" w14:textId="77777777" w:rsidTr="00712D81">
        <w:tc>
          <w:tcPr>
            <w:tcW w:w="3539" w:type="dxa"/>
            <w:vAlign w:val="bottom"/>
          </w:tcPr>
          <w:p w14:paraId="6E7CBF03" w14:textId="77777777" w:rsidR="002765DF" w:rsidRPr="00651CA4" w:rsidRDefault="002765DF" w:rsidP="00712D81">
            <w:pPr>
              <w:rPr>
                <w:rFonts w:ascii="Calibri" w:hAnsi="Calibri" w:cs="Calibri"/>
                <w:sz w:val="24"/>
                <w:szCs w:val="24"/>
              </w:rPr>
            </w:pPr>
            <w:r>
              <w:rPr>
                <w:rFonts w:ascii="Arial" w:hAnsi="Arial" w:cs="Arial"/>
                <w:sz w:val="20"/>
                <w:szCs w:val="20"/>
              </w:rPr>
              <w:t xml:space="preserve">Poplar and Limehouse </w:t>
            </w:r>
          </w:p>
        </w:tc>
        <w:tc>
          <w:tcPr>
            <w:tcW w:w="3686" w:type="dxa"/>
            <w:vAlign w:val="bottom"/>
          </w:tcPr>
          <w:p w14:paraId="42B8BF37"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52.4%</w:t>
            </w:r>
          </w:p>
        </w:tc>
      </w:tr>
      <w:tr w:rsidR="002765DF" w:rsidRPr="00165B05" w14:paraId="781CA17A" w14:textId="77777777" w:rsidTr="00712D81">
        <w:tc>
          <w:tcPr>
            <w:tcW w:w="3539" w:type="dxa"/>
            <w:vAlign w:val="bottom"/>
          </w:tcPr>
          <w:p w14:paraId="5B6AA64E" w14:textId="77777777" w:rsidR="002765DF" w:rsidRPr="00651CA4" w:rsidRDefault="002765DF" w:rsidP="00712D81">
            <w:pPr>
              <w:rPr>
                <w:rFonts w:ascii="Calibri" w:hAnsi="Calibri" w:cs="Calibri"/>
                <w:sz w:val="24"/>
                <w:szCs w:val="24"/>
              </w:rPr>
            </w:pPr>
            <w:r>
              <w:rPr>
                <w:rFonts w:ascii="Arial" w:hAnsi="Arial" w:cs="Arial"/>
                <w:sz w:val="20"/>
                <w:szCs w:val="20"/>
              </w:rPr>
              <w:t xml:space="preserve">Hackney South and Shoreditch </w:t>
            </w:r>
          </w:p>
        </w:tc>
        <w:tc>
          <w:tcPr>
            <w:tcW w:w="3686" w:type="dxa"/>
            <w:vAlign w:val="bottom"/>
          </w:tcPr>
          <w:p w14:paraId="257AEE81"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52.0%</w:t>
            </w:r>
          </w:p>
        </w:tc>
      </w:tr>
      <w:tr w:rsidR="002765DF" w:rsidRPr="00165B05" w14:paraId="31F67A58" w14:textId="77777777" w:rsidTr="00712D81">
        <w:tc>
          <w:tcPr>
            <w:tcW w:w="3539" w:type="dxa"/>
            <w:vAlign w:val="bottom"/>
          </w:tcPr>
          <w:p w14:paraId="7D6BC49F" w14:textId="77777777" w:rsidR="002765DF" w:rsidRPr="00651CA4" w:rsidRDefault="002765DF" w:rsidP="00712D81">
            <w:pPr>
              <w:rPr>
                <w:rFonts w:ascii="Calibri" w:eastAsia="Times New Roman" w:hAnsi="Calibri" w:cs="Calibri"/>
                <w:sz w:val="24"/>
                <w:szCs w:val="24"/>
                <w:lang w:eastAsia="en-GB"/>
              </w:rPr>
            </w:pPr>
            <w:r>
              <w:rPr>
                <w:rFonts w:ascii="Arial" w:hAnsi="Arial" w:cs="Arial"/>
                <w:sz w:val="20"/>
                <w:szCs w:val="20"/>
              </w:rPr>
              <w:t xml:space="preserve">East Ham  </w:t>
            </w:r>
          </w:p>
        </w:tc>
        <w:tc>
          <w:tcPr>
            <w:tcW w:w="3686" w:type="dxa"/>
            <w:vAlign w:val="bottom"/>
          </w:tcPr>
          <w:p w14:paraId="2A62F8FB"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51.3%</w:t>
            </w:r>
          </w:p>
        </w:tc>
      </w:tr>
      <w:tr w:rsidR="002765DF" w:rsidRPr="00165B05" w14:paraId="0B663EC2" w14:textId="77777777" w:rsidTr="00712D81">
        <w:tc>
          <w:tcPr>
            <w:tcW w:w="3539" w:type="dxa"/>
            <w:vAlign w:val="bottom"/>
          </w:tcPr>
          <w:p w14:paraId="57C04E8B" w14:textId="77777777" w:rsidR="002765DF" w:rsidRPr="00651CA4" w:rsidRDefault="002765DF" w:rsidP="00712D81">
            <w:pPr>
              <w:rPr>
                <w:rFonts w:ascii="Calibri" w:eastAsia="Times New Roman" w:hAnsi="Calibri" w:cs="Calibri"/>
                <w:sz w:val="24"/>
                <w:szCs w:val="24"/>
                <w:lang w:eastAsia="en-GB"/>
              </w:rPr>
            </w:pPr>
            <w:r>
              <w:rPr>
                <w:rFonts w:ascii="Arial" w:hAnsi="Arial" w:cs="Arial"/>
                <w:sz w:val="20"/>
                <w:szCs w:val="20"/>
              </w:rPr>
              <w:t>Walthamstow</w:t>
            </w:r>
          </w:p>
        </w:tc>
        <w:tc>
          <w:tcPr>
            <w:tcW w:w="3686" w:type="dxa"/>
            <w:vAlign w:val="bottom"/>
          </w:tcPr>
          <w:p w14:paraId="07921CC4"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50.8%</w:t>
            </w:r>
          </w:p>
        </w:tc>
      </w:tr>
      <w:tr w:rsidR="002765DF" w:rsidRPr="00165B05" w14:paraId="44DAB55A" w14:textId="77777777" w:rsidTr="00712D81">
        <w:tc>
          <w:tcPr>
            <w:tcW w:w="3539" w:type="dxa"/>
            <w:vAlign w:val="bottom"/>
          </w:tcPr>
          <w:p w14:paraId="6C824AC0" w14:textId="77777777" w:rsidR="002765DF" w:rsidRPr="00651CA4" w:rsidRDefault="002765DF" w:rsidP="00712D81">
            <w:pPr>
              <w:rPr>
                <w:rFonts w:ascii="Calibri" w:eastAsia="Times New Roman" w:hAnsi="Calibri" w:cs="Calibri"/>
                <w:sz w:val="24"/>
                <w:szCs w:val="24"/>
                <w:lang w:eastAsia="en-GB"/>
              </w:rPr>
            </w:pPr>
            <w:r>
              <w:rPr>
                <w:rFonts w:ascii="Arial" w:hAnsi="Arial" w:cs="Arial"/>
                <w:sz w:val="20"/>
                <w:szCs w:val="20"/>
              </w:rPr>
              <w:t>Barking</w:t>
            </w:r>
          </w:p>
        </w:tc>
        <w:tc>
          <w:tcPr>
            <w:tcW w:w="3686" w:type="dxa"/>
            <w:vAlign w:val="bottom"/>
          </w:tcPr>
          <w:p w14:paraId="5D7AA361"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50.8%</w:t>
            </w:r>
          </w:p>
        </w:tc>
      </w:tr>
      <w:tr w:rsidR="002765DF" w:rsidRPr="00165B05" w14:paraId="15CFE7CD" w14:textId="77777777" w:rsidTr="00712D81">
        <w:tc>
          <w:tcPr>
            <w:tcW w:w="3539" w:type="dxa"/>
            <w:vAlign w:val="bottom"/>
          </w:tcPr>
          <w:p w14:paraId="156C13DE" w14:textId="77777777" w:rsidR="002765DF" w:rsidRPr="00651CA4" w:rsidRDefault="002765DF" w:rsidP="00712D81">
            <w:pPr>
              <w:rPr>
                <w:rFonts w:ascii="Calibri" w:eastAsia="Times New Roman" w:hAnsi="Calibri" w:cs="Calibri"/>
                <w:sz w:val="24"/>
                <w:szCs w:val="24"/>
                <w:lang w:eastAsia="en-GB"/>
              </w:rPr>
            </w:pPr>
            <w:r>
              <w:rPr>
                <w:rFonts w:ascii="Arial" w:hAnsi="Arial" w:cs="Arial"/>
                <w:sz w:val="20"/>
                <w:szCs w:val="20"/>
              </w:rPr>
              <w:t xml:space="preserve">Bermondsey and Old Southwark </w:t>
            </w:r>
          </w:p>
        </w:tc>
        <w:tc>
          <w:tcPr>
            <w:tcW w:w="3686" w:type="dxa"/>
            <w:vAlign w:val="bottom"/>
          </w:tcPr>
          <w:p w14:paraId="6E42DAC7"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50.3%</w:t>
            </w:r>
          </w:p>
        </w:tc>
      </w:tr>
      <w:tr w:rsidR="002765DF" w:rsidRPr="00165B05" w14:paraId="00418C6D" w14:textId="77777777" w:rsidTr="00712D81">
        <w:tc>
          <w:tcPr>
            <w:tcW w:w="3539" w:type="dxa"/>
            <w:vAlign w:val="bottom"/>
          </w:tcPr>
          <w:p w14:paraId="63FC5F57" w14:textId="77777777" w:rsidR="002765DF" w:rsidRPr="00651CA4" w:rsidRDefault="002765DF" w:rsidP="00712D81">
            <w:pPr>
              <w:rPr>
                <w:rFonts w:ascii="Calibri" w:eastAsia="Times New Roman" w:hAnsi="Calibri" w:cs="Calibri"/>
                <w:sz w:val="24"/>
                <w:szCs w:val="24"/>
                <w:lang w:eastAsia="en-GB"/>
              </w:rPr>
            </w:pPr>
            <w:r>
              <w:rPr>
                <w:rFonts w:ascii="Arial" w:hAnsi="Arial" w:cs="Arial"/>
                <w:sz w:val="20"/>
                <w:szCs w:val="20"/>
              </w:rPr>
              <w:t xml:space="preserve">Tottenham </w:t>
            </w:r>
          </w:p>
        </w:tc>
        <w:tc>
          <w:tcPr>
            <w:tcW w:w="3686" w:type="dxa"/>
            <w:vAlign w:val="bottom"/>
          </w:tcPr>
          <w:p w14:paraId="63E26B76"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50.2%</w:t>
            </w:r>
          </w:p>
        </w:tc>
      </w:tr>
      <w:tr w:rsidR="002765DF" w:rsidRPr="00165B05" w14:paraId="36BA3BF4" w14:textId="77777777" w:rsidTr="00712D81">
        <w:tc>
          <w:tcPr>
            <w:tcW w:w="3539" w:type="dxa"/>
            <w:vAlign w:val="bottom"/>
          </w:tcPr>
          <w:p w14:paraId="6DB4DD0E" w14:textId="77777777" w:rsidR="002765DF" w:rsidRPr="00651CA4" w:rsidRDefault="002765DF" w:rsidP="00712D81">
            <w:pPr>
              <w:rPr>
                <w:rFonts w:ascii="Calibri" w:eastAsia="Times New Roman" w:hAnsi="Calibri" w:cs="Calibri"/>
                <w:sz w:val="24"/>
                <w:szCs w:val="24"/>
                <w:lang w:eastAsia="en-GB"/>
              </w:rPr>
            </w:pPr>
            <w:r>
              <w:rPr>
                <w:rFonts w:ascii="Arial" w:hAnsi="Arial" w:cs="Arial"/>
                <w:sz w:val="20"/>
                <w:szCs w:val="20"/>
              </w:rPr>
              <w:t xml:space="preserve">Vauxhall </w:t>
            </w:r>
          </w:p>
        </w:tc>
        <w:tc>
          <w:tcPr>
            <w:tcW w:w="3686" w:type="dxa"/>
            <w:vAlign w:val="bottom"/>
          </w:tcPr>
          <w:p w14:paraId="4E91496A"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49.7%</w:t>
            </w:r>
          </w:p>
        </w:tc>
      </w:tr>
      <w:tr w:rsidR="002765DF" w:rsidRPr="00165B05" w14:paraId="05C27BBE" w14:textId="77777777" w:rsidTr="00712D81">
        <w:tc>
          <w:tcPr>
            <w:tcW w:w="3539" w:type="dxa"/>
            <w:vAlign w:val="bottom"/>
          </w:tcPr>
          <w:p w14:paraId="219ACE51" w14:textId="77777777" w:rsidR="002765DF" w:rsidRPr="00651CA4" w:rsidRDefault="002765DF" w:rsidP="00712D81">
            <w:pPr>
              <w:rPr>
                <w:rFonts w:ascii="Calibri" w:eastAsia="Times New Roman" w:hAnsi="Calibri" w:cs="Calibri"/>
                <w:sz w:val="24"/>
                <w:szCs w:val="24"/>
                <w:lang w:eastAsia="en-GB"/>
              </w:rPr>
            </w:pPr>
            <w:r>
              <w:rPr>
                <w:rFonts w:ascii="Arial" w:hAnsi="Arial" w:cs="Arial"/>
                <w:sz w:val="20"/>
                <w:szCs w:val="20"/>
              </w:rPr>
              <w:t>Mitcham and Morden</w:t>
            </w:r>
          </w:p>
        </w:tc>
        <w:tc>
          <w:tcPr>
            <w:tcW w:w="3686" w:type="dxa"/>
            <w:vAlign w:val="bottom"/>
          </w:tcPr>
          <w:p w14:paraId="4AE9C8A0"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48.5%</w:t>
            </w:r>
          </w:p>
        </w:tc>
      </w:tr>
      <w:tr w:rsidR="002765DF" w:rsidRPr="00165B05" w14:paraId="1A82AED2" w14:textId="77777777" w:rsidTr="00712D81">
        <w:tc>
          <w:tcPr>
            <w:tcW w:w="3539" w:type="dxa"/>
            <w:vAlign w:val="bottom"/>
          </w:tcPr>
          <w:p w14:paraId="1111E4CB" w14:textId="77777777" w:rsidR="002765DF" w:rsidRPr="00651CA4" w:rsidRDefault="002765DF" w:rsidP="00712D81">
            <w:pPr>
              <w:rPr>
                <w:rFonts w:ascii="Calibri" w:eastAsia="Times New Roman" w:hAnsi="Calibri" w:cs="Calibri"/>
                <w:sz w:val="24"/>
                <w:szCs w:val="24"/>
                <w:lang w:eastAsia="en-GB"/>
              </w:rPr>
            </w:pPr>
            <w:r>
              <w:rPr>
                <w:rFonts w:ascii="Arial" w:hAnsi="Arial" w:cs="Arial"/>
                <w:sz w:val="20"/>
                <w:szCs w:val="20"/>
              </w:rPr>
              <w:t xml:space="preserve">Birmingham Perry Barr </w:t>
            </w:r>
          </w:p>
        </w:tc>
        <w:tc>
          <w:tcPr>
            <w:tcW w:w="3686" w:type="dxa"/>
            <w:vAlign w:val="bottom"/>
          </w:tcPr>
          <w:p w14:paraId="7682FF22"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48.4%</w:t>
            </w:r>
          </w:p>
        </w:tc>
      </w:tr>
      <w:tr w:rsidR="002765DF" w:rsidRPr="00165B05" w14:paraId="78E4FCCA" w14:textId="77777777" w:rsidTr="00712D81">
        <w:tc>
          <w:tcPr>
            <w:tcW w:w="3539" w:type="dxa"/>
            <w:vAlign w:val="bottom"/>
          </w:tcPr>
          <w:p w14:paraId="22795E52" w14:textId="77777777" w:rsidR="002765DF" w:rsidRPr="00651CA4" w:rsidRDefault="002765DF" w:rsidP="00712D81">
            <w:pPr>
              <w:rPr>
                <w:rFonts w:ascii="Calibri" w:eastAsia="Times New Roman" w:hAnsi="Calibri" w:cs="Calibri"/>
                <w:sz w:val="24"/>
                <w:szCs w:val="24"/>
                <w:lang w:eastAsia="en-GB"/>
              </w:rPr>
            </w:pPr>
            <w:r>
              <w:rPr>
                <w:rFonts w:ascii="Arial" w:hAnsi="Arial" w:cs="Arial"/>
                <w:sz w:val="20"/>
                <w:szCs w:val="20"/>
              </w:rPr>
              <w:t>Warley</w:t>
            </w:r>
          </w:p>
        </w:tc>
        <w:tc>
          <w:tcPr>
            <w:tcW w:w="3686" w:type="dxa"/>
            <w:vAlign w:val="bottom"/>
          </w:tcPr>
          <w:p w14:paraId="252433D3"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48.0%</w:t>
            </w:r>
          </w:p>
        </w:tc>
      </w:tr>
      <w:tr w:rsidR="002765DF" w:rsidRPr="00165B05" w14:paraId="20652181" w14:textId="77777777" w:rsidTr="00712D81">
        <w:tc>
          <w:tcPr>
            <w:tcW w:w="3539" w:type="dxa"/>
            <w:vAlign w:val="bottom"/>
          </w:tcPr>
          <w:p w14:paraId="03C2DB1B" w14:textId="77777777" w:rsidR="002765DF" w:rsidRPr="00651CA4" w:rsidRDefault="002765DF" w:rsidP="00712D81">
            <w:pPr>
              <w:rPr>
                <w:rFonts w:ascii="Calibri" w:eastAsia="Times New Roman" w:hAnsi="Calibri" w:cs="Calibri"/>
                <w:sz w:val="24"/>
                <w:szCs w:val="24"/>
                <w:lang w:eastAsia="en-GB"/>
              </w:rPr>
            </w:pPr>
            <w:r>
              <w:rPr>
                <w:rFonts w:ascii="Arial" w:hAnsi="Arial" w:cs="Arial"/>
                <w:sz w:val="20"/>
                <w:szCs w:val="20"/>
              </w:rPr>
              <w:t xml:space="preserve">Oldham West and Royton  </w:t>
            </w:r>
          </w:p>
        </w:tc>
        <w:tc>
          <w:tcPr>
            <w:tcW w:w="3686" w:type="dxa"/>
            <w:vAlign w:val="bottom"/>
          </w:tcPr>
          <w:p w14:paraId="655C48E3"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48.0%</w:t>
            </w:r>
          </w:p>
        </w:tc>
      </w:tr>
      <w:tr w:rsidR="002765DF" w:rsidRPr="00165B05" w14:paraId="6C9304BA" w14:textId="77777777" w:rsidTr="00712D81">
        <w:tc>
          <w:tcPr>
            <w:tcW w:w="3539" w:type="dxa"/>
            <w:vAlign w:val="bottom"/>
          </w:tcPr>
          <w:p w14:paraId="62C32110" w14:textId="77777777" w:rsidR="002765DF" w:rsidRPr="00651CA4" w:rsidRDefault="002765DF" w:rsidP="00712D81">
            <w:pPr>
              <w:rPr>
                <w:rFonts w:ascii="Calibri" w:eastAsia="Times New Roman" w:hAnsi="Calibri" w:cs="Calibri"/>
                <w:sz w:val="24"/>
                <w:szCs w:val="24"/>
                <w:lang w:eastAsia="en-GB"/>
              </w:rPr>
            </w:pPr>
            <w:r>
              <w:rPr>
                <w:rFonts w:ascii="Arial" w:hAnsi="Arial" w:cs="Arial"/>
                <w:sz w:val="20"/>
                <w:szCs w:val="20"/>
              </w:rPr>
              <w:t xml:space="preserve">Holborn and St Pancras  </w:t>
            </w:r>
          </w:p>
        </w:tc>
        <w:tc>
          <w:tcPr>
            <w:tcW w:w="3686" w:type="dxa"/>
            <w:vAlign w:val="bottom"/>
          </w:tcPr>
          <w:p w14:paraId="72D83C6D"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47.9%</w:t>
            </w:r>
          </w:p>
        </w:tc>
      </w:tr>
      <w:tr w:rsidR="002765DF" w:rsidRPr="00165B05" w14:paraId="4E0BC7B1" w14:textId="77777777" w:rsidTr="00712D81">
        <w:tc>
          <w:tcPr>
            <w:tcW w:w="3539" w:type="dxa"/>
            <w:vAlign w:val="bottom"/>
          </w:tcPr>
          <w:p w14:paraId="5F293965" w14:textId="77777777" w:rsidR="002765DF" w:rsidRPr="00651CA4" w:rsidRDefault="002765DF" w:rsidP="00712D81">
            <w:pPr>
              <w:rPr>
                <w:rFonts w:ascii="Calibri" w:eastAsia="Times New Roman" w:hAnsi="Calibri" w:cs="Calibri"/>
                <w:sz w:val="24"/>
                <w:szCs w:val="24"/>
                <w:lang w:eastAsia="en-GB"/>
              </w:rPr>
            </w:pPr>
            <w:r>
              <w:rPr>
                <w:rFonts w:ascii="Arial" w:hAnsi="Arial" w:cs="Arial"/>
                <w:sz w:val="20"/>
                <w:szCs w:val="20"/>
              </w:rPr>
              <w:t xml:space="preserve">Bradford West </w:t>
            </w:r>
          </w:p>
        </w:tc>
        <w:tc>
          <w:tcPr>
            <w:tcW w:w="3686" w:type="dxa"/>
            <w:vAlign w:val="bottom"/>
          </w:tcPr>
          <w:p w14:paraId="4B8BD233"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47.8%</w:t>
            </w:r>
          </w:p>
        </w:tc>
      </w:tr>
      <w:tr w:rsidR="002765DF" w:rsidRPr="00165B05" w14:paraId="00BCC39E" w14:textId="77777777" w:rsidTr="00712D81">
        <w:tc>
          <w:tcPr>
            <w:tcW w:w="3539" w:type="dxa"/>
            <w:vAlign w:val="bottom"/>
          </w:tcPr>
          <w:p w14:paraId="34F8B0FC" w14:textId="77777777" w:rsidR="002765DF" w:rsidRPr="00651CA4" w:rsidRDefault="002765DF" w:rsidP="00712D81">
            <w:pPr>
              <w:rPr>
                <w:rFonts w:ascii="Calibri" w:eastAsia="Times New Roman" w:hAnsi="Calibri" w:cs="Calibri"/>
                <w:sz w:val="24"/>
                <w:szCs w:val="24"/>
                <w:lang w:eastAsia="en-GB"/>
              </w:rPr>
            </w:pPr>
            <w:r>
              <w:rPr>
                <w:rFonts w:ascii="Arial" w:hAnsi="Arial" w:cs="Arial"/>
                <w:sz w:val="20"/>
                <w:szCs w:val="20"/>
              </w:rPr>
              <w:t xml:space="preserve">Manchester Gorton  </w:t>
            </w:r>
          </w:p>
        </w:tc>
        <w:tc>
          <w:tcPr>
            <w:tcW w:w="3686" w:type="dxa"/>
            <w:vAlign w:val="bottom"/>
          </w:tcPr>
          <w:p w14:paraId="43AA8BAA"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47.6%</w:t>
            </w:r>
          </w:p>
        </w:tc>
      </w:tr>
    </w:tbl>
    <w:p w14:paraId="64A9231E" w14:textId="77777777" w:rsidR="002765DF" w:rsidRDefault="002765DF" w:rsidP="002765DF">
      <w:pPr>
        <w:spacing w:after="0" w:line="240" w:lineRule="auto"/>
        <w:ind w:left="1440" w:hanging="1440"/>
        <w:rPr>
          <w:b/>
          <w:bCs/>
          <w:sz w:val="24"/>
          <w:szCs w:val="24"/>
        </w:rPr>
      </w:pPr>
    </w:p>
    <w:p w14:paraId="784DD975" w14:textId="2CAEAA83" w:rsidR="002765DF" w:rsidRDefault="002765DF" w:rsidP="00E04ED3">
      <w:pPr>
        <w:spacing w:after="0" w:line="240" w:lineRule="auto"/>
        <w:rPr>
          <w:sz w:val="24"/>
          <w:szCs w:val="24"/>
        </w:rPr>
      </w:pPr>
      <w:r>
        <w:rPr>
          <w:sz w:val="24"/>
          <w:szCs w:val="24"/>
        </w:rPr>
        <w:t xml:space="preserve">It is immediately noticeable that greatest concentrations of child poverty are in </w:t>
      </w:r>
      <w:proofErr w:type="gramStart"/>
      <w:r>
        <w:rPr>
          <w:sz w:val="24"/>
          <w:szCs w:val="24"/>
        </w:rPr>
        <w:t>London, once</w:t>
      </w:r>
      <w:proofErr w:type="gramEnd"/>
      <w:r>
        <w:rPr>
          <w:sz w:val="24"/>
          <w:szCs w:val="24"/>
        </w:rPr>
        <w:t xml:space="preserve"> housing costs are taken into account. As shown in Section 5 below, this is a different picture from the BHC estimates produced by the DWP/HMRC, where areas in the conurbations of the Midlands and the North of England feature more prominently. Nevertheless, some of these areas, particularly in Birmingham, show up in the constituency data in Table 2.  Thus, it is in Britain’s two biggest cities that the greatest concentrations of child poverty can be seen, influenced in London by high housing costs which leave many families with very low disposable income. In a dozen constituencies in London and Birmingham, </w:t>
      </w:r>
      <w:proofErr w:type="gramStart"/>
      <w:r>
        <w:rPr>
          <w:sz w:val="24"/>
          <w:szCs w:val="24"/>
        </w:rPr>
        <w:t>the majority of</w:t>
      </w:r>
      <w:proofErr w:type="gramEnd"/>
      <w:r>
        <w:rPr>
          <w:sz w:val="24"/>
          <w:szCs w:val="24"/>
        </w:rPr>
        <w:t xml:space="preserve"> children were below the poverty line in 2018/19, once housing costs are taken into account. Th</w:t>
      </w:r>
      <w:r w:rsidR="00FA342B">
        <w:rPr>
          <w:sz w:val="24"/>
          <w:szCs w:val="24"/>
        </w:rPr>
        <w:t xml:space="preserve">ese data say nothing about conditions during the coronavirus </w:t>
      </w:r>
      <w:proofErr w:type="gramStart"/>
      <w:r w:rsidR="00FA342B">
        <w:rPr>
          <w:sz w:val="24"/>
          <w:szCs w:val="24"/>
        </w:rPr>
        <w:t>crisis, but</w:t>
      </w:r>
      <w:proofErr w:type="gramEnd"/>
      <w:r w:rsidR="00FA342B">
        <w:rPr>
          <w:sz w:val="24"/>
          <w:szCs w:val="24"/>
        </w:rPr>
        <w:t xml:space="preserve"> show alarmingly rates of child poverty even before large numbers of people started losing their jobs as a result of the pandemic.</w:t>
      </w:r>
    </w:p>
    <w:p w14:paraId="6469A468" w14:textId="43D51215" w:rsidR="00AC6545" w:rsidRDefault="00AC6545" w:rsidP="00E04ED3">
      <w:pPr>
        <w:spacing w:after="0" w:line="240" w:lineRule="auto"/>
        <w:rPr>
          <w:sz w:val="24"/>
          <w:szCs w:val="24"/>
        </w:rPr>
      </w:pPr>
    </w:p>
    <w:p w14:paraId="60238379" w14:textId="26215010" w:rsidR="00AC6545" w:rsidRDefault="00AC6545" w:rsidP="00E04ED3">
      <w:pPr>
        <w:spacing w:after="0" w:line="240" w:lineRule="auto"/>
        <w:rPr>
          <w:sz w:val="24"/>
          <w:szCs w:val="24"/>
        </w:rPr>
      </w:pPr>
      <w:r>
        <w:rPr>
          <w:sz w:val="24"/>
          <w:szCs w:val="24"/>
        </w:rPr>
        <w:t xml:space="preserve">Figure 1 gives the bigger picture </w:t>
      </w:r>
      <w:r w:rsidR="001751AC">
        <w:rPr>
          <w:sz w:val="24"/>
          <w:szCs w:val="24"/>
        </w:rPr>
        <w:t>on child poverty AHC</w:t>
      </w:r>
      <w:r>
        <w:rPr>
          <w:sz w:val="24"/>
          <w:szCs w:val="24"/>
        </w:rPr>
        <w:t xml:space="preserve">, showing </w:t>
      </w:r>
      <w:r w:rsidR="001751AC">
        <w:rPr>
          <w:sz w:val="24"/>
          <w:szCs w:val="24"/>
        </w:rPr>
        <w:t>the rates by country and region</w:t>
      </w:r>
      <w:r w:rsidR="00210CCF">
        <w:rPr>
          <w:sz w:val="24"/>
          <w:szCs w:val="24"/>
        </w:rPr>
        <w:t>.</w:t>
      </w:r>
      <w:r w:rsidR="001751AC">
        <w:rPr>
          <w:sz w:val="24"/>
          <w:szCs w:val="24"/>
        </w:rPr>
        <w:t xml:space="preserve"> The highest rate is in London, and the lowest in Scotland.</w:t>
      </w:r>
    </w:p>
    <w:p w14:paraId="6D07B5D4" w14:textId="23A29234" w:rsidR="007B5D92" w:rsidRDefault="007B5D92">
      <w:pPr>
        <w:rPr>
          <w:sz w:val="24"/>
          <w:szCs w:val="24"/>
        </w:rPr>
      </w:pPr>
      <w:r>
        <w:rPr>
          <w:sz w:val="24"/>
          <w:szCs w:val="24"/>
        </w:rPr>
        <w:br w:type="page"/>
      </w:r>
    </w:p>
    <w:p w14:paraId="2ECFA165" w14:textId="6F074C54" w:rsidR="00210CCF" w:rsidRPr="007B5D92" w:rsidRDefault="007B5D92" w:rsidP="00E04ED3">
      <w:pPr>
        <w:spacing w:after="0" w:line="240" w:lineRule="auto"/>
        <w:rPr>
          <w:b/>
          <w:bCs/>
          <w:sz w:val="24"/>
          <w:szCs w:val="24"/>
        </w:rPr>
      </w:pPr>
      <w:r>
        <w:rPr>
          <w:b/>
          <w:bCs/>
          <w:sz w:val="24"/>
          <w:szCs w:val="24"/>
        </w:rPr>
        <w:lastRenderedPageBreak/>
        <w:t xml:space="preserve">Figure 1 </w:t>
      </w:r>
      <w:r w:rsidR="00FD1025">
        <w:rPr>
          <w:b/>
          <w:bCs/>
          <w:sz w:val="24"/>
          <w:szCs w:val="24"/>
        </w:rPr>
        <w:tab/>
      </w:r>
      <w:r>
        <w:rPr>
          <w:b/>
          <w:bCs/>
          <w:sz w:val="24"/>
          <w:szCs w:val="24"/>
        </w:rPr>
        <w:t>Percentage of children in poverty, AHC 2018/19, by country and region</w:t>
      </w:r>
    </w:p>
    <w:p w14:paraId="731D2881" w14:textId="07119926" w:rsidR="00210CCF" w:rsidRPr="002765DF" w:rsidRDefault="00210CCF" w:rsidP="00E04ED3">
      <w:pPr>
        <w:spacing w:after="0" w:line="240" w:lineRule="auto"/>
        <w:rPr>
          <w:sz w:val="24"/>
          <w:szCs w:val="24"/>
        </w:rPr>
      </w:pPr>
    </w:p>
    <w:p w14:paraId="75C43D7C" w14:textId="0477B137" w:rsidR="002765DF" w:rsidRDefault="002765DF" w:rsidP="00E04ED3">
      <w:pPr>
        <w:spacing w:after="0" w:line="240" w:lineRule="auto"/>
        <w:rPr>
          <w:b/>
          <w:bCs/>
          <w:sz w:val="24"/>
          <w:szCs w:val="24"/>
        </w:rPr>
      </w:pPr>
    </w:p>
    <w:p w14:paraId="7ED6457F" w14:textId="01E7FDCD" w:rsidR="002765DF" w:rsidRDefault="007B5D92" w:rsidP="00E04ED3">
      <w:pPr>
        <w:spacing w:after="0" w:line="240" w:lineRule="auto"/>
        <w:rPr>
          <w:b/>
          <w:bCs/>
          <w:sz w:val="24"/>
          <w:szCs w:val="24"/>
        </w:rPr>
      </w:pPr>
      <w:r>
        <w:rPr>
          <w:noProof/>
        </w:rPr>
        <w:drawing>
          <wp:inline distT="0" distB="0" distL="0" distR="0" wp14:anchorId="3C0042F7" wp14:editId="1A49B12B">
            <wp:extent cx="6060558" cy="4008474"/>
            <wp:effectExtent l="0" t="0" r="16510" b="11430"/>
            <wp:docPr id="5" name="Chart 5">
              <a:extLst xmlns:a="http://schemas.openxmlformats.org/drawingml/2006/main">
                <a:ext uri="{FF2B5EF4-FFF2-40B4-BE49-F238E27FC236}">
                  <a16:creationId xmlns:a16="http://schemas.microsoft.com/office/drawing/2014/main" id="{03E72B47-74D2-4A9E-A3BD-1FA43DCCBF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3AF8982" w14:textId="77777777" w:rsidR="007B5D92" w:rsidRDefault="007B5D92" w:rsidP="007B5D92">
      <w:pPr>
        <w:pStyle w:val="ListParagraph"/>
        <w:spacing w:after="0" w:line="240" w:lineRule="auto"/>
        <w:ind w:left="360"/>
        <w:rPr>
          <w:b/>
          <w:bCs/>
          <w:sz w:val="24"/>
          <w:szCs w:val="24"/>
        </w:rPr>
      </w:pPr>
    </w:p>
    <w:p w14:paraId="6EBCEB45" w14:textId="5E805075" w:rsidR="00E04ED3" w:rsidRPr="00E04ED3" w:rsidRDefault="00E04ED3" w:rsidP="00BB4C69">
      <w:pPr>
        <w:pStyle w:val="Heading1"/>
      </w:pPr>
      <w:r>
        <w:t xml:space="preserve"> </w:t>
      </w:r>
      <w:bookmarkStart w:id="6" w:name="_Toc52547006"/>
      <w:bookmarkStart w:id="7" w:name="_Toc52547179"/>
      <w:r>
        <w:t>Change in local child poverty rates between 2014/15 and 2018/19</w:t>
      </w:r>
      <w:bookmarkEnd w:id="6"/>
      <w:bookmarkEnd w:id="7"/>
    </w:p>
    <w:p w14:paraId="7E86C0F4" w14:textId="77777777" w:rsidR="00FA342B" w:rsidRDefault="00FA342B" w:rsidP="00C44973">
      <w:pPr>
        <w:spacing w:after="0" w:line="240" w:lineRule="auto"/>
        <w:rPr>
          <w:sz w:val="24"/>
          <w:szCs w:val="24"/>
        </w:rPr>
      </w:pPr>
    </w:p>
    <w:p w14:paraId="246C33EA" w14:textId="53B867E2" w:rsidR="00712D81" w:rsidRDefault="00FA342B" w:rsidP="00C44973">
      <w:pPr>
        <w:spacing w:after="0" w:line="240" w:lineRule="auto"/>
        <w:rPr>
          <w:sz w:val="24"/>
          <w:szCs w:val="24"/>
        </w:rPr>
      </w:pPr>
      <w:r>
        <w:rPr>
          <w:sz w:val="24"/>
          <w:szCs w:val="24"/>
        </w:rPr>
        <w:t xml:space="preserve">Tables 3 and 4 show the areas that have seen the greatest growth in child poverty </w:t>
      </w:r>
      <w:r w:rsidR="009C5995">
        <w:rPr>
          <w:sz w:val="24"/>
          <w:szCs w:val="24"/>
        </w:rPr>
        <w:t xml:space="preserve">after housing costs </w:t>
      </w:r>
      <w:r>
        <w:rPr>
          <w:sz w:val="24"/>
          <w:szCs w:val="24"/>
        </w:rPr>
        <w:t xml:space="preserve">during the five years for which data are available. </w:t>
      </w:r>
      <w:r w:rsidR="00712D81">
        <w:rPr>
          <w:sz w:val="24"/>
          <w:szCs w:val="24"/>
        </w:rPr>
        <w:t xml:space="preserve">It is noticeable in these tables that virtually all the largest increases have come in the Midlands and Northern conurbations, and none in London. Households in these areas have done relatively badly in terms of their incomes, compared to those in London and elsewhere in the UK. While looking at one point in time, low incomes in these areas are partly </w:t>
      </w:r>
      <w:r w:rsidR="009C5995">
        <w:rPr>
          <w:sz w:val="24"/>
          <w:szCs w:val="24"/>
        </w:rPr>
        <w:t xml:space="preserve">counteracted </w:t>
      </w:r>
      <w:r w:rsidR="00712D81">
        <w:rPr>
          <w:sz w:val="24"/>
          <w:szCs w:val="24"/>
        </w:rPr>
        <w:t xml:space="preserve">by low housing costs, the greater housing costs paid by Londoners </w:t>
      </w:r>
      <w:r w:rsidR="009C5995">
        <w:rPr>
          <w:sz w:val="24"/>
          <w:szCs w:val="24"/>
        </w:rPr>
        <w:t xml:space="preserve">have </w:t>
      </w:r>
      <w:r w:rsidR="00712D81">
        <w:rPr>
          <w:sz w:val="24"/>
          <w:szCs w:val="24"/>
        </w:rPr>
        <w:t xml:space="preserve">not increased over the period under observation. Figure 2 shows the index of private rents since 2011. Whereas in the early part of the 2010s, London rents were rising fast compared to elsewhere, between 2015 and 2019, the period covered by these data, the rents rose by the same amount inside and outside London. Thus, the extent to which high rents increase child poverty in the capital has not risen further, and it was the stagnating incomes in other metropolitan areas that drove the greatest increases in child poverty in the second half of the 2010s. Figure 3 shows how this is true at the regional level, with the greatest increase in AHC </w:t>
      </w:r>
      <w:r w:rsidR="00662B0E">
        <w:rPr>
          <w:sz w:val="24"/>
          <w:szCs w:val="24"/>
        </w:rPr>
        <w:t xml:space="preserve">child </w:t>
      </w:r>
      <w:r w:rsidR="00712D81">
        <w:rPr>
          <w:sz w:val="24"/>
          <w:szCs w:val="24"/>
        </w:rPr>
        <w:t xml:space="preserve">poverty coming in </w:t>
      </w:r>
      <w:r w:rsidR="00662B0E">
        <w:rPr>
          <w:sz w:val="24"/>
          <w:szCs w:val="24"/>
        </w:rPr>
        <w:t>the North East, where it rose nine percentage points, while in Wales and South West England it fell slightly.</w:t>
      </w:r>
    </w:p>
    <w:p w14:paraId="5804CAE6" w14:textId="77777777" w:rsidR="00712D81" w:rsidRDefault="00712D81">
      <w:pPr>
        <w:rPr>
          <w:sz w:val="24"/>
          <w:szCs w:val="24"/>
        </w:rPr>
      </w:pPr>
      <w:r>
        <w:rPr>
          <w:sz w:val="24"/>
          <w:szCs w:val="24"/>
        </w:rPr>
        <w:br w:type="page"/>
      </w:r>
    </w:p>
    <w:p w14:paraId="0669DB61" w14:textId="6C089BCD" w:rsidR="00712D81" w:rsidRDefault="00712D81" w:rsidP="00712D81">
      <w:pPr>
        <w:spacing w:after="0" w:line="240" w:lineRule="auto"/>
        <w:ind w:left="1440" w:hanging="1440"/>
        <w:rPr>
          <w:b/>
          <w:bCs/>
          <w:sz w:val="24"/>
          <w:szCs w:val="24"/>
        </w:rPr>
      </w:pPr>
      <w:r w:rsidRPr="00165B05">
        <w:rPr>
          <w:b/>
          <w:bCs/>
          <w:sz w:val="24"/>
          <w:szCs w:val="24"/>
        </w:rPr>
        <w:lastRenderedPageBreak/>
        <w:t xml:space="preserve">Table </w:t>
      </w:r>
      <w:r>
        <w:rPr>
          <w:b/>
          <w:bCs/>
          <w:sz w:val="24"/>
          <w:szCs w:val="24"/>
        </w:rPr>
        <w:t>3</w:t>
      </w:r>
      <w:r w:rsidRPr="00165B05">
        <w:rPr>
          <w:b/>
          <w:bCs/>
          <w:sz w:val="24"/>
          <w:szCs w:val="24"/>
        </w:rPr>
        <w:tab/>
        <w:t xml:space="preserve">The 20 </w:t>
      </w:r>
      <w:r>
        <w:rPr>
          <w:b/>
          <w:bCs/>
          <w:sz w:val="24"/>
          <w:szCs w:val="24"/>
        </w:rPr>
        <w:t>local authorities</w:t>
      </w:r>
      <w:r w:rsidRPr="00165B05">
        <w:rPr>
          <w:b/>
          <w:bCs/>
          <w:sz w:val="24"/>
          <w:szCs w:val="24"/>
        </w:rPr>
        <w:t xml:space="preserve"> with </w:t>
      </w:r>
      <w:r>
        <w:rPr>
          <w:b/>
          <w:bCs/>
          <w:sz w:val="24"/>
          <w:szCs w:val="24"/>
        </w:rPr>
        <w:t>highest increase in child poverty rates</w:t>
      </w:r>
      <w:r w:rsidR="009C5995">
        <w:rPr>
          <w:b/>
          <w:bCs/>
          <w:sz w:val="24"/>
          <w:szCs w:val="24"/>
        </w:rPr>
        <w:t xml:space="preserve"> after housing costs</w:t>
      </w:r>
      <w:r>
        <w:rPr>
          <w:b/>
          <w:bCs/>
          <w:sz w:val="24"/>
          <w:szCs w:val="24"/>
        </w:rPr>
        <w:t xml:space="preserve">, 2014/15 to </w:t>
      </w:r>
      <w:r w:rsidRPr="00165B05">
        <w:rPr>
          <w:b/>
          <w:bCs/>
          <w:sz w:val="24"/>
          <w:szCs w:val="24"/>
        </w:rPr>
        <w:t>2018/19</w:t>
      </w:r>
    </w:p>
    <w:p w14:paraId="2666F1A1" w14:textId="77777777" w:rsidR="00BB4C69" w:rsidRDefault="00BB4C69" w:rsidP="00712D81">
      <w:pPr>
        <w:spacing w:after="0" w:line="240" w:lineRule="auto"/>
        <w:ind w:left="1440" w:hanging="1440"/>
        <w:rPr>
          <w:b/>
          <w:bCs/>
          <w:sz w:val="24"/>
          <w:szCs w:val="24"/>
        </w:rPr>
      </w:pPr>
    </w:p>
    <w:tbl>
      <w:tblPr>
        <w:tblStyle w:val="TableGrid"/>
        <w:tblW w:w="0" w:type="auto"/>
        <w:tblLook w:val="04A0" w:firstRow="1" w:lastRow="0" w:firstColumn="1" w:lastColumn="0" w:noHBand="0" w:noVBand="1"/>
      </w:tblPr>
      <w:tblGrid>
        <w:gridCol w:w="3539"/>
        <w:gridCol w:w="1611"/>
        <w:gridCol w:w="1612"/>
        <w:gridCol w:w="2254"/>
      </w:tblGrid>
      <w:tr w:rsidR="00BB4C69" w:rsidRPr="00165B05" w14:paraId="16A638C2" w14:textId="77777777" w:rsidTr="00712D81">
        <w:tc>
          <w:tcPr>
            <w:tcW w:w="3539" w:type="dxa"/>
            <w:vMerge w:val="restart"/>
            <w:shd w:val="clear" w:color="auto" w:fill="B4C6E7" w:themeFill="accent1" w:themeFillTint="66"/>
          </w:tcPr>
          <w:p w14:paraId="2611DD66" w14:textId="2137A3B5" w:rsidR="00BB4C69" w:rsidRPr="009C5995" w:rsidRDefault="00BB4C69" w:rsidP="00712D81">
            <w:pPr>
              <w:rPr>
                <w:rFonts w:ascii="Calibri" w:eastAsia="Times New Roman" w:hAnsi="Calibri" w:cs="Calibri"/>
                <w:b/>
                <w:bCs/>
                <w:sz w:val="24"/>
                <w:szCs w:val="24"/>
                <w:lang w:eastAsia="en-GB"/>
              </w:rPr>
            </w:pPr>
            <w:r w:rsidRPr="009C5995">
              <w:rPr>
                <w:rFonts w:ascii="Calibri" w:eastAsia="Times New Roman" w:hAnsi="Calibri" w:cs="Calibri"/>
                <w:b/>
                <w:bCs/>
                <w:sz w:val="24"/>
                <w:szCs w:val="24"/>
                <w:lang w:eastAsia="en-GB"/>
              </w:rPr>
              <w:t>Constituency</w:t>
            </w:r>
          </w:p>
        </w:tc>
        <w:tc>
          <w:tcPr>
            <w:tcW w:w="5477" w:type="dxa"/>
            <w:gridSpan w:val="3"/>
            <w:shd w:val="clear" w:color="auto" w:fill="B4C6E7" w:themeFill="accent1" w:themeFillTint="66"/>
          </w:tcPr>
          <w:p w14:paraId="16675EA2" w14:textId="77777777" w:rsidR="00BB4C69" w:rsidRPr="00651CA4" w:rsidRDefault="00BB4C69" w:rsidP="00712D81">
            <w:pPr>
              <w:jc w:val="center"/>
              <w:rPr>
                <w:rFonts w:ascii="Calibri" w:eastAsia="Times New Roman" w:hAnsi="Calibri" w:cs="Calibri"/>
                <w:b/>
                <w:bCs/>
                <w:sz w:val="24"/>
                <w:szCs w:val="24"/>
                <w:lang w:eastAsia="en-GB"/>
              </w:rPr>
            </w:pPr>
            <w:r w:rsidRPr="00687421">
              <w:rPr>
                <w:rFonts w:ascii="Calibri" w:eastAsia="Times New Roman" w:hAnsi="Calibri" w:cs="Calibri"/>
                <w:b/>
                <w:bCs/>
                <w:sz w:val="24"/>
                <w:szCs w:val="24"/>
                <w:lang w:eastAsia="en-GB"/>
              </w:rPr>
              <w:t>% of children below 60% median income AHC</w:t>
            </w:r>
          </w:p>
        </w:tc>
      </w:tr>
      <w:tr w:rsidR="00BB4C69" w:rsidRPr="00165B05" w14:paraId="57AC1E70" w14:textId="77777777" w:rsidTr="00712D81">
        <w:tc>
          <w:tcPr>
            <w:tcW w:w="3539" w:type="dxa"/>
            <w:vMerge/>
            <w:shd w:val="clear" w:color="auto" w:fill="B4C6E7" w:themeFill="accent1" w:themeFillTint="66"/>
          </w:tcPr>
          <w:p w14:paraId="01DC1E08" w14:textId="4B8750E8" w:rsidR="00BB4C69" w:rsidRPr="008A64EE" w:rsidRDefault="00BB4C69" w:rsidP="00712D81">
            <w:pPr>
              <w:rPr>
                <w:rFonts w:ascii="Calibri" w:eastAsia="Times New Roman" w:hAnsi="Calibri" w:cs="Calibri"/>
                <w:sz w:val="24"/>
                <w:szCs w:val="24"/>
                <w:lang w:eastAsia="en-GB"/>
              </w:rPr>
            </w:pPr>
          </w:p>
        </w:tc>
        <w:tc>
          <w:tcPr>
            <w:tcW w:w="1611" w:type="dxa"/>
            <w:shd w:val="clear" w:color="auto" w:fill="B4C6E7" w:themeFill="accent1" w:themeFillTint="66"/>
          </w:tcPr>
          <w:p w14:paraId="7478CB2E" w14:textId="77777777" w:rsidR="00BB4C69" w:rsidRPr="00651CA4" w:rsidRDefault="00BB4C69" w:rsidP="00712D81">
            <w:pPr>
              <w:jc w:val="center"/>
              <w:rPr>
                <w:rFonts w:ascii="Calibri" w:eastAsia="Times New Roman" w:hAnsi="Calibri" w:cs="Calibri"/>
                <w:b/>
                <w:bCs/>
                <w:sz w:val="24"/>
                <w:szCs w:val="24"/>
                <w:lang w:eastAsia="en-GB"/>
              </w:rPr>
            </w:pPr>
            <w:r w:rsidRPr="00651CA4">
              <w:rPr>
                <w:rFonts w:ascii="Calibri" w:eastAsia="Times New Roman" w:hAnsi="Calibri" w:cs="Calibri"/>
                <w:sz w:val="24"/>
                <w:szCs w:val="24"/>
                <w:lang w:eastAsia="en-GB"/>
              </w:rPr>
              <w:t>2014/15</w:t>
            </w:r>
          </w:p>
        </w:tc>
        <w:tc>
          <w:tcPr>
            <w:tcW w:w="1612" w:type="dxa"/>
            <w:shd w:val="clear" w:color="auto" w:fill="B4C6E7" w:themeFill="accent1" w:themeFillTint="66"/>
          </w:tcPr>
          <w:p w14:paraId="59179F58" w14:textId="77777777" w:rsidR="00BB4C69" w:rsidRPr="00651CA4" w:rsidRDefault="00BB4C69" w:rsidP="00712D81">
            <w:pPr>
              <w:jc w:val="center"/>
              <w:rPr>
                <w:rFonts w:ascii="Calibri" w:eastAsia="Times New Roman" w:hAnsi="Calibri" w:cs="Calibri"/>
                <w:b/>
                <w:bCs/>
                <w:sz w:val="24"/>
                <w:szCs w:val="24"/>
                <w:lang w:eastAsia="en-GB"/>
              </w:rPr>
            </w:pPr>
            <w:r w:rsidRPr="00651CA4">
              <w:rPr>
                <w:rFonts w:ascii="Calibri" w:eastAsia="Times New Roman" w:hAnsi="Calibri" w:cs="Calibri"/>
                <w:sz w:val="24"/>
                <w:szCs w:val="24"/>
                <w:lang w:eastAsia="en-GB"/>
              </w:rPr>
              <w:t>2018/19</w:t>
            </w:r>
          </w:p>
        </w:tc>
        <w:tc>
          <w:tcPr>
            <w:tcW w:w="2254" w:type="dxa"/>
            <w:shd w:val="clear" w:color="auto" w:fill="B4C6E7" w:themeFill="accent1" w:themeFillTint="66"/>
          </w:tcPr>
          <w:p w14:paraId="7A48D8A5" w14:textId="77777777" w:rsidR="00BB4C69" w:rsidRPr="008A64EE" w:rsidRDefault="00BB4C69" w:rsidP="00712D81">
            <w:pPr>
              <w:rPr>
                <w:rFonts w:ascii="Calibri" w:eastAsia="Times New Roman" w:hAnsi="Calibri" w:cs="Calibri"/>
                <w:sz w:val="24"/>
                <w:szCs w:val="24"/>
                <w:lang w:eastAsia="en-GB"/>
              </w:rPr>
            </w:pPr>
            <w:r w:rsidRPr="008A64EE">
              <w:rPr>
                <w:rFonts w:ascii="Calibri" w:eastAsia="Times New Roman" w:hAnsi="Calibri" w:cs="Calibri"/>
                <w:sz w:val="24"/>
                <w:szCs w:val="24"/>
                <w:lang w:eastAsia="en-GB"/>
              </w:rPr>
              <w:t>%age point increase</w:t>
            </w:r>
          </w:p>
        </w:tc>
      </w:tr>
      <w:tr w:rsidR="00712D81" w:rsidRPr="00165B05" w14:paraId="176A0CFA" w14:textId="77777777" w:rsidTr="00712D81">
        <w:tc>
          <w:tcPr>
            <w:tcW w:w="3539" w:type="dxa"/>
          </w:tcPr>
          <w:p w14:paraId="01188921" w14:textId="77777777" w:rsidR="00712D81" w:rsidRPr="00687421" w:rsidRDefault="00712D81" w:rsidP="00712D81">
            <w:pPr>
              <w:rPr>
                <w:rFonts w:ascii="Calibri" w:hAnsi="Calibri" w:cs="Calibri"/>
                <w:b/>
                <w:bCs/>
                <w:sz w:val="24"/>
                <w:szCs w:val="24"/>
              </w:rPr>
            </w:pPr>
            <w:r>
              <w:rPr>
                <w:rFonts w:ascii="Calibri" w:hAnsi="Calibri" w:cs="Calibri"/>
                <w:b/>
                <w:bCs/>
                <w:sz w:val="24"/>
                <w:szCs w:val="24"/>
              </w:rPr>
              <w:t>UK</w:t>
            </w:r>
          </w:p>
        </w:tc>
        <w:tc>
          <w:tcPr>
            <w:tcW w:w="1611" w:type="dxa"/>
          </w:tcPr>
          <w:p w14:paraId="255173AF" w14:textId="77777777" w:rsidR="00712D81" w:rsidRPr="00687421" w:rsidRDefault="00712D81" w:rsidP="00712D81">
            <w:pPr>
              <w:tabs>
                <w:tab w:val="decimal" w:pos="552"/>
              </w:tabs>
              <w:rPr>
                <w:rFonts w:ascii="Calibri" w:hAnsi="Calibri" w:cs="Calibri"/>
                <w:b/>
                <w:bCs/>
                <w:sz w:val="24"/>
                <w:szCs w:val="24"/>
              </w:rPr>
            </w:pPr>
            <w:r w:rsidRPr="00687421">
              <w:rPr>
                <w:rFonts w:ascii="Calibri" w:hAnsi="Calibri" w:cs="Calibri"/>
                <w:b/>
                <w:bCs/>
                <w:sz w:val="24"/>
                <w:szCs w:val="24"/>
              </w:rPr>
              <w:t>28%</w:t>
            </w:r>
          </w:p>
        </w:tc>
        <w:tc>
          <w:tcPr>
            <w:tcW w:w="1612" w:type="dxa"/>
          </w:tcPr>
          <w:p w14:paraId="40CFB8FF" w14:textId="77777777" w:rsidR="00712D81" w:rsidRPr="00687421" w:rsidRDefault="00712D81" w:rsidP="00712D81">
            <w:pPr>
              <w:tabs>
                <w:tab w:val="decimal" w:pos="702"/>
              </w:tabs>
              <w:rPr>
                <w:rFonts w:ascii="Calibri" w:hAnsi="Calibri" w:cs="Calibri"/>
                <w:b/>
                <w:bCs/>
                <w:sz w:val="24"/>
                <w:szCs w:val="24"/>
              </w:rPr>
            </w:pPr>
            <w:r w:rsidRPr="00687421">
              <w:rPr>
                <w:rFonts w:ascii="Calibri" w:hAnsi="Calibri" w:cs="Calibri"/>
                <w:b/>
                <w:bCs/>
                <w:sz w:val="24"/>
                <w:szCs w:val="24"/>
              </w:rPr>
              <w:t>30%</w:t>
            </w:r>
          </w:p>
        </w:tc>
        <w:tc>
          <w:tcPr>
            <w:tcW w:w="2254" w:type="dxa"/>
          </w:tcPr>
          <w:p w14:paraId="7BF8EB5B" w14:textId="77777777" w:rsidR="00712D81" w:rsidRPr="00687421" w:rsidRDefault="00712D81" w:rsidP="00712D81">
            <w:pPr>
              <w:tabs>
                <w:tab w:val="decimal" w:pos="935"/>
              </w:tabs>
              <w:rPr>
                <w:rFonts w:ascii="Calibri" w:hAnsi="Calibri" w:cs="Calibri"/>
                <w:b/>
                <w:bCs/>
                <w:sz w:val="24"/>
                <w:szCs w:val="24"/>
              </w:rPr>
            </w:pPr>
            <w:r w:rsidRPr="00687421">
              <w:rPr>
                <w:rFonts w:ascii="Calibri" w:eastAsia="Times New Roman" w:hAnsi="Calibri" w:cs="Calibri"/>
                <w:b/>
                <w:bCs/>
                <w:sz w:val="24"/>
                <w:szCs w:val="24"/>
                <w:lang w:eastAsia="en-GB"/>
              </w:rPr>
              <w:t>2%</w:t>
            </w:r>
          </w:p>
        </w:tc>
      </w:tr>
      <w:tr w:rsidR="00712D81" w:rsidRPr="00165B05" w14:paraId="6F144F63" w14:textId="77777777" w:rsidTr="00712D81">
        <w:tc>
          <w:tcPr>
            <w:tcW w:w="3539" w:type="dxa"/>
            <w:vAlign w:val="bottom"/>
          </w:tcPr>
          <w:p w14:paraId="5A80A3AB" w14:textId="77777777" w:rsidR="00712D81" w:rsidRPr="00651CA4" w:rsidRDefault="00712D81" w:rsidP="00712D81">
            <w:pPr>
              <w:rPr>
                <w:rFonts w:ascii="Calibri" w:hAnsi="Calibri" w:cs="Calibri"/>
                <w:sz w:val="24"/>
                <w:szCs w:val="24"/>
              </w:rPr>
            </w:pPr>
            <w:r>
              <w:rPr>
                <w:rFonts w:ascii="Arial" w:hAnsi="Arial" w:cs="Arial"/>
                <w:sz w:val="20"/>
                <w:szCs w:val="20"/>
              </w:rPr>
              <w:t>Middlesbrough</w:t>
            </w:r>
          </w:p>
        </w:tc>
        <w:tc>
          <w:tcPr>
            <w:tcW w:w="1611" w:type="dxa"/>
            <w:vAlign w:val="bottom"/>
          </w:tcPr>
          <w:p w14:paraId="1413B097"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28.6%</w:t>
            </w:r>
          </w:p>
        </w:tc>
        <w:tc>
          <w:tcPr>
            <w:tcW w:w="1612" w:type="dxa"/>
            <w:vAlign w:val="bottom"/>
          </w:tcPr>
          <w:p w14:paraId="526A3FAF"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41.1%</w:t>
            </w:r>
          </w:p>
        </w:tc>
        <w:tc>
          <w:tcPr>
            <w:tcW w:w="2254" w:type="dxa"/>
            <w:vAlign w:val="bottom"/>
          </w:tcPr>
          <w:p w14:paraId="511A0A91"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12.5%</w:t>
            </w:r>
          </w:p>
        </w:tc>
      </w:tr>
      <w:tr w:rsidR="00712D81" w:rsidRPr="00165B05" w14:paraId="76512C70" w14:textId="77777777" w:rsidTr="00712D81">
        <w:tc>
          <w:tcPr>
            <w:tcW w:w="3539" w:type="dxa"/>
            <w:vAlign w:val="bottom"/>
          </w:tcPr>
          <w:p w14:paraId="79368CB0" w14:textId="77777777" w:rsidR="00712D81" w:rsidRPr="00651CA4" w:rsidRDefault="00712D81" w:rsidP="00712D81">
            <w:pPr>
              <w:rPr>
                <w:rFonts w:ascii="Calibri" w:hAnsi="Calibri" w:cs="Calibri"/>
                <w:sz w:val="24"/>
                <w:szCs w:val="24"/>
              </w:rPr>
            </w:pPr>
            <w:r>
              <w:rPr>
                <w:rFonts w:ascii="Arial" w:hAnsi="Arial" w:cs="Arial"/>
                <w:sz w:val="20"/>
                <w:szCs w:val="20"/>
              </w:rPr>
              <w:t>Newcastle upon Tyne</w:t>
            </w:r>
          </w:p>
        </w:tc>
        <w:tc>
          <w:tcPr>
            <w:tcW w:w="1611" w:type="dxa"/>
            <w:vAlign w:val="bottom"/>
          </w:tcPr>
          <w:p w14:paraId="3CC0225D"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28.2%</w:t>
            </w:r>
          </w:p>
        </w:tc>
        <w:tc>
          <w:tcPr>
            <w:tcW w:w="1612" w:type="dxa"/>
            <w:vAlign w:val="bottom"/>
          </w:tcPr>
          <w:p w14:paraId="31F32F50"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39.2%</w:t>
            </w:r>
          </w:p>
        </w:tc>
        <w:tc>
          <w:tcPr>
            <w:tcW w:w="2254" w:type="dxa"/>
            <w:vAlign w:val="bottom"/>
          </w:tcPr>
          <w:p w14:paraId="596AEE9F"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11.0%</w:t>
            </w:r>
          </w:p>
        </w:tc>
      </w:tr>
      <w:tr w:rsidR="00712D81" w:rsidRPr="00165B05" w14:paraId="286DD989" w14:textId="77777777" w:rsidTr="00712D81">
        <w:tc>
          <w:tcPr>
            <w:tcW w:w="3539" w:type="dxa"/>
            <w:vAlign w:val="bottom"/>
          </w:tcPr>
          <w:p w14:paraId="2322CD5C" w14:textId="77777777" w:rsidR="00712D81" w:rsidRPr="00651CA4" w:rsidRDefault="00712D81" w:rsidP="00712D81">
            <w:pPr>
              <w:rPr>
                <w:rFonts w:ascii="Calibri" w:hAnsi="Calibri" w:cs="Calibri"/>
                <w:sz w:val="24"/>
                <w:szCs w:val="24"/>
              </w:rPr>
            </w:pPr>
            <w:r>
              <w:rPr>
                <w:rFonts w:ascii="Arial" w:hAnsi="Arial" w:cs="Arial"/>
                <w:sz w:val="20"/>
                <w:szCs w:val="20"/>
              </w:rPr>
              <w:t>South Tyneside</w:t>
            </w:r>
          </w:p>
        </w:tc>
        <w:tc>
          <w:tcPr>
            <w:tcW w:w="1611" w:type="dxa"/>
            <w:vAlign w:val="bottom"/>
          </w:tcPr>
          <w:p w14:paraId="092D01E4"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27.0%</w:t>
            </w:r>
          </w:p>
        </w:tc>
        <w:tc>
          <w:tcPr>
            <w:tcW w:w="1612" w:type="dxa"/>
            <w:vAlign w:val="bottom"/>
          </w:tcPr>
          <w:p w14:paraId="1EAE3589"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37.3%</w:t>
            </w:r>
          </w:p>
        </w:tc>
        <w:tc>
          <w:tcPr>
            <w:tcW w:w="2254" w:type="dxa"/>
            <w:vAlign w:val="bottom"/>
          </w:tcPr>
          <w:p w14:paraId="1C489AF8"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10.3%</w:t>
            </w:r>
          </w:p>
        </w:tc>
      </w:tr>
      <w:tr w:rsidR="00712D81" w:rsidRPr="00165B05" w14:paraId="33D119BA" w14:textId="77777777" w:rsidTr="00712D81">
        <w:tc>
          <w:tcPr>
            <w:tcW w:w="3539" w:type="dxa"/>
            <w:vAlign w:val="bottom"/>
          </w:tcPr>
          <w:p w14:paraId="193F3483" w14:textId="77777777" w:rsidR="00712D81" w:rsidRPr="00651CA4" w:rsidRDefault="00712D81" w:rsidP="00712D81">
            <w:pPr>
              <w:rPr>
                <w:rFonts w:ascii="Calibri" w:hAnsi="Calibri" w:cs="Calibri"/>
                <w:sz w:val="24"/>
                <w:szCs w:val="24"/>
              </w:rPr>
            </w:pPr>
            <w:r>
              <w:rPr>
                <w:rFonts w:ascii="Arial" w:hAnsi="Arial" w:cs="Arial"/>
                <w:sz w:val="20"/>
                <w:szCs w:val="20"/>
              </w:rPr>
              <w:t>Hartlepool</w:t>
            </w:r>
          </w:p>
        </w:tc>
        <w:tc>
          <w:tcPr>
            <w:tcW w:w="1611" w:type="dxa"/>
            <w:vAlign w:val="bottom"/>
          </w:tcPr>
          <w:p w14:paraId="28CE53F7"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27.5%</w:t>
            </w:r>
          </w:p>
        </w:tc>
        <w:tc>
          <w:tcPr>
            <w:tcW w:w="1612" w:type="dxa"/>
            <w:vAlign w:val="bottom"/>
          </w:tcPr>
          <w:p w14:paraId="0E78046C"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37.3%</w:t>
            </w:r>
          </w:p>
        </w:tc>
        <w:tc>
          <w:tcPr>
            <w:tcW w:w="2254" w:type="dxa"/>
            <w:vAlign w:val="bottom"/>
          </w:tcPr>
          <w:p w14:paraId="2D4E66F9"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9.8%</w:t>
            </w:r>
          </w:p>
        </w:tc>
      </w:tr>
      <w:tr w:rsidR="00712D81" w:rsidRPr="00165B05" w14:paraId="1658AB6F" w14:textId="77777777" w:rsidTr="00712D81">
        <w:tc>
          <w:tcPr>
            <w:tcW w:w="3539" w:type="dxa"/>
            <w:vAlign w:val="bottom"/>
          </w:tcPr>
          <w:p w14:paraId="77D4C20B" w14:textId="77777777" w:rsidR="00712D81" w:rsidRPr="00651CA4" w:rsidRDefault="00712D81" w:rsidP="00712D81">
            <w:pPr>
              <w:rPr>
                <w:rFonts w:ascii="Calibri" w:hAnsi="Calibri" w:cs="Calibri"/>
                <w:sz w:val="24"/>
                <w:szCs w:val="24"/>
              </w:rPr>
            </w:pPr>
            <w:r>
              <w:rPr>
                <w:rFonts w:ascii="Arial" w:hAnsi="Arial" w:cs="Arial"/>
                <w:sz w:val="20"/>
                <w:szCs w:val="20"/>
              </w:rPr>
              <w:t>Sunderland</w:t>
            </w:r>
          </w:p>
        </w:tc>
        <w:tc>
          <w:tcPr>
            <w:tcW w:w="1611" w:type="dxa"/>
            <w:vAlign w:val="bottom"/>
          </w:tcPr>
          <w:p w14:paraId="38251928"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27.2%</w:t>
            </w:r>
          </w:p>
        </w:tc>
        <w:tc>
          <w:tcPr>
            <w:tcW w:w="1612" w:type="dxa"/>
            <w:vAlign w:val="bottom"/>
          </w:tcPr>
          <w:p w14:paraId="0242E26F"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36.0%</w:t>
            </w:r>
          </w:p>
        </w:tc>
        <w:tc>
          <w:tcPr>
            <w:tcW w:w="2254" w:type="dxa"/>
            <w:vAlign w:val="bottom"/>
          </w:tcPr>
          <w:p w14:paraId="5AF57A10"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8.8%</w:t>
            </w:r>
          </w:p>
        </w:tc>
      </w:tr>
      <w:tr w:rsidR="00712D81" w:rsidRPr="00165B05" w14:paraId="3B1F9EB5" w14:textId="77777777" w:rsidTr="00712D81">
        <w:tc>
          <w:tcPr>
            <w:tcW w:w="3539" w:type="dxa"/>
            <w:vAlign w:val="bottom"/>
          </w:tcPr>
          <w:p w14:paraId="62B56FDA" w14:textId="77777777" w:rsidR="00712D81" w:rsidRPr="00651CA4" w:rsidRDefault="00712D81" w:rsidP="00712D81">
            <w:pPr>
              <w:rPr>
                <w:rFonts w:ascii="Calibri" w:hAnsi="Calibri" w:cs="Calibri"/>
                <w:sz w:val="24"/>
                <w:szCs w:val="24"/>
              </w:rPr>
            </w:pPr>
            <w:r>
              <w:rPr>
                <w:rFonts w:ascii="Arial" w:hAnsi="Arial" w:cs="Arial"/>
                <w:sz w:val="20"/>
                <w:szCs w:val="20"/>
              </w:rPr>
              <w:t>Gateshead</w:t>
            </w:r>
          </w:p>
        </w:tc>
        <w:tc>
          <w:tcPr>
            <w:tcW w:w="1611" w:type="dxa"/>
            <w:vAlign w:val="bottom"/>
          </w:tcPr>
          <w:p w14:paraId="6590F6AE"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24.7%</w:t>
            </w:r>
          </w:p>
        </w:tc>
        <w:tc>
          <w:tcPr>
            <w:tcW w:w="1612" w:type="dxa"/>
            <w:vAlign w:val="bottom"/>
          </w:tcPr>
          <w:p w14:paraId="05544E0D"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33.5%</w:t>
            </w:r>
          </w:p>
        </w:tc>
        <w:tc>
          <w:tcPr>
            <w:tcW w:w="2254" w:type="dxa"/>
            <w:vAlign w:val="bottom"/>
          </w:tcPr>
          <w:p w14:paraId="0E42FE3A"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8.8%</w:t>
            </w:r>
          </w:p>
        </w:tc>
      </w:tr>
      <w:tr w:rsidR="00712D81" w:rsidRPr="00165B05" w14:paraId="22F65D66" w14:textId="77777777" w:rsidTr="00712D81">
        <w:tc>
          <w:tcPr>
            <w:tcW w:w="3539" w:type="dxa"/>
            <w:vAlign w:val="bottom"/>
          </w:tcPr>
          <w:p w14:paraId="471862F7" w14:textId="77777777" w:rsidR="00712D81" w:rsidRPr="00651CA4" w:rsidRDefault="00712D81" w:rsidP="00712D81">
            <w:pPr>
              <w:rPr>
                <w:rFonts w:ascii="Calibri" w:hAnsi="Calibri" w:cs="Calibri"/>
                <w:sz w:val="24"/>
                <w:szCs w:val="24"/>
              </w:rPr>
            </w:pPr>
            <w:r>
              <w:rPr>
                <w:rFonts w:ascii="Arial" w:hAnsi="Arial" w:cs="Arial"/>
                <w:sz w:val="20"/>
                <w:szCs w:val="20"/>
              </w:rPr>
              <w:t>Bradford</w:t>
            </w:r>
          </w:p>
        </w:tc>
        <w:tc>
          <w:tcPr>
            <w:tcW w:w="1611" w:type="dxa"/>
            <w:vAlign w:val="bottom"/>
          </w:tcPr>
          <w:p w14:paraId="0D997613"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29.5%</w:t>
            </w:r>
          </w:p>
        </w:tc>
        <w:tc>
          <w:tcPr>
            <w:tcW w:w="1612" w:type="dxa"/>
            <w:vAlign w:val="bottom"/>
          </w:tcPr>
          <w:p w14:paraId="5353704C"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38.3%</w:t>
            </w:r>
          </w:p>
        </w:tc>
        <w:tc>
          <w:tcPr>
            <w:tcW w:w="2254" w:type="dxa"/>
            <w:vAlign w:val="bottom"/>
          </w:tcPr>
          <w:p w14:paraId="4307F2B2"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8.7%</w:t>
            </w:r>
          </w:p>
        </w:tc>
      </w:tr>
      <w:tr w:rsidR="00712D81" w:rsidRPr="00165B05" w14:paraId="50F2334A" w14:textId="77777777" w:rsidTr="00712D81">
        <w:tc>
          <w:tcPr>
            <w:tcW w:w="3539" w:type="dxa"/>
            <w:vAlign w:val="bottom"/>
          </w:tcPr>
          <w:p w14:paraId="6069D783" w14:textId="77777777" w:rsidR="00712D81" w:rsidRPr="00651CA4" w:rsidRDefault="00712D81" w:rsidP="00712D81">
            <w:pPr>
              <w:rPr>
                <w:rFonts w:ascii="Calibri" w:eastAsia="Times New Roman" w:hAnsi="Calibri" w:cs="Calibri"/>
                <w:sz w:val="24"/>
                <w:szCs w:val="24"/>
                <w:lang w:eastAsia="en-GB"/>
              </w:rPr>
            </w:pPr>
            <w:r>
              <w:rPr>
                <w:rFonts w:ascii="Arial" w:hAnsi="Arial" w:cs="Arial"/>
                <w:sz w:val="20"/>
                <w:szCs w:val="20"/>
              </w:rPr>
              <w:t>Redcar and Cleveland</w:t>
            </w:r>
          </w:p>
        </w:tc>
        <w:tc>
          <w:tcPr>
            <w:tcW w:w="1611" w:type="dxa"/>
            <w:vAlign w:val="bottom"/>
          </w:tcPr>
          <w:p w14:paraId="577DA50A"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26.4%</w:t>
            </w:r>
          </w:p>
        </w:tc>
        <w:tc>
          <w:tcPr>
            <w:tcW w:w="1612" w:type="dxa"/>
            <w:vAlign w:val="bottom"/>
          </w:tcPr>
          <w:p w14:paraId="0A31526B"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35.1%</w:t>
            </w:r>
          </w:p>
        </w:tc>
        <w:tc>
          <w:tcPr>
            <w:tcW w:w="2254" w:type="dxa"/>
            <w:vAlign w:val="bottom"/>
          </w:tcPr>
          <w:p w14:paraId="213387EC"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8.7%</w:t>
            </w:r>
          </w:p>
        </w:tc>
      </w:tr>
      <w:tr w:rsidR="00712D81" w:rsidRPr="00165B05" w14:paraId="063AA413" w14:textId="77777777" w:rsidTr="00712D81">
        <w:tc>
          <w:tcPr>
            <w:tcW w:w="3539" w:type="dxa"/>
            <w:vAlign w:val="bottom"/>
          </w:tcPr>
          <w:p w14:paraId="76A66D74" w14:textId="77777777" w:rsidR="00712D81" w:rsidRPr="00651CA4" w:rsidRDefault="00712D81" w:rsidP="00712D81">
            <w:pPr>
              <w:rPr>
                <w:rFonts w:ascii="Calibri" w:eastAsia="Times New Roman" w:hAnsi="Calibri" w:cs="Calibri"/>
                <w:sz w:val="24"/>
                <w:szCs w:val="24"/>
                <w:lang w:eastAsia="en-GB"/>
              </w:rPr>
            </w:pPr>
            <w:r>
              <w:rPr>
                <w:rFonts w:ascii="Arial" w:hAnsi="Arial" w:cs="Arial"/>
                <w:sz w:val="20"/>
                <w:szCs w:val="20"/>
              </w:rPr>
              <w:t>County Durham</w:t>
            </w:r>
          </w:p>
        </w:tc>
        <w:tc>
          <w:tcPr>
            <w:tcW w:w="1611" w:type="dxa"/>
            <w:vAlign w:val="bottom"/>
          </w:tcPr>
          <w:p w14:paraId="69C1F798"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25.4%</w:t>
            </w:r>
          </w:p>
        </w:tc>
        <w:tc>
          <w:tcPr>
            <w:tcW w:w="1612" w:type="dxa"/>
            <w:vAlign w:val="bottom"/>
          </w:tcPr>
          <w:p w14:paraId="5144772E"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34.0%</w:t>
            </w:r>
          </w:p>
        </w:tc>
        <w:tc>
          <w:tcPr>
            <w:tcW w:w="2254" w:type="dxa"/>
            <w:vAlign w:val="bottom"/>
          </w:tcPr>
          <w:p w14:paraId="4A9D0E4E"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8.6%</w:t>
            </w:r>
          </w:p>
        </w:tc>
      </w:tr>
      <w:tr w:rsidR="00712D81" w:rsidRPr="00165B05" w14:paraId="2F9EE1CD" w14:textId="77777777" w:rsidTr="00712D81">
        <w:tc>
          <w:tcPr>
            <w:tcW w:w="3539" w:type="dxa"/>
            <w:vAlign w:val="bottom"/>
          </w:tcPr>
          <w:p w14:paraId="12B5294C" w14:textId="77777777" w:rsidR="00712D81" w:rsidRPr="00651CA4" w:rsidRDefault="00712D81" w:rsidP="00712D81">
            <w:pPr>
              <w:rPr>
                <w:rFonts w:ascii="Calibri" w:eastAsia="Times New Roman" w:hAnsi="Calibri" w:cs="Calibri"/>
                <w:sz w:val="24"/>
                <w:szCs w:val="24"/>
                <w:lang w:eastAsia="en-GB"/>
              </w:rPr>
            </w:pPr>
            <w:r>
              <w:rPr>
                <w:rFonts w:ascii="Arial" w:hAnsi="Arial" w:cs="Arial"/>
                <w:sz w:val="20"/>
                <w:szCs w:val="20"/>
              </w:rPr>
              <w:t>Leicester</w:t>
            </w:r>
          </w:p>
        </w:tc>
        <w:tc>
          <w:tcPr>
            <w:tcW w:w="1611" w:type="dxa"/>
            <w:vAlign w:val="bottom"/>
          </w:tcPr>
          <w:p w14:paraId="4AFE0B85"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29.4%</w:t>
            </w:r>
          </w:p>
        </w:tc>
        <w:tc>
          <w:tcPr>
            <w:tcW w:w="1612" w:type="dxa"/>
            <w:vAlign w:val="bottom"/>
          </w:tcPr>
          <w:p w14:paraId="0F0CCF07"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37.8%</w:t>
            </w:r>
          </w:p>
        </w:tc>
        <w:tc>
          <w:tcPr>
            <w:tcW w:w="2254" w:type="dxa"/>
            <w:vAlign w:val="bottom"/>
          </w:tcPr>
          <w:p w14:paraId="796EED9F"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8.5%</w:t>
            </w:r>
          </w:p>
        </w:tc>
      </w:tr>
      <w:tr w:rsidR="00712D81" w:rsidRPr="00165B05" w14:paraId="36B12B01" w14:textId="77777777" w:rsidTr="00712D81">
        <w:tc>
          <w:tcPr>
            <w:tcW w:w="3539" w:type="dxa"/>
            <w:vAlign w:val="bottom"/>
          </w:tcPr>
          <w:p w14:paraId="7D4944D1" w14:textId="77777777" w:rsidR="00712D81" w:rsidRPr="00651CA4" w:rsidRDefault="00712D81" w:rsidP="00712D81">
            <w:pPr>
              <w:rPr>
                <w:rFonts w:ascii="Calibri" w:eastAsia="Times New Roman" w:hAnsi="Calibri" w:cs="Calibri"/>
                <w:sz w:val="24"/>
                <w:szCs w:val="24"/>
                <w:lang w:eastAsia="en-GB"/>
              </w:rPr>
            </w:pPr>
            <w:r>
              <w:rPr>
                <w:rFonts w:ascii="Arial" w:hAnsi="Arial" w:cs="Arial"/>
                <w:sz w:val="20"/>
                <w:szCs w:val="20"/>
              </w:rPr>
              <w:t>Blackburn with Darwen</w:t>
            </w:r>
          </w:p>
        </w:tc>
        <w:tc>
          <w:tcPr>
            <w:tcW w:w="1611" w:type="dxa"/>
            <w:vAlign w:val="bottom"/>
          </w:tcPr>
          <w:p w14:paraId="7EE213D6"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30.9%</w:t>
            </w:r>
          </w:p>
        </w:tc>
        <w:tc>
          <w:tcPr>
            <w:tcW w:w="1612" w:type="dxa"/>
            <w:vAlign w:val="bottom"/>
          </w:tcPr>
          <w:p w14:paraId="421FFA25"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39.1%</w:t>
            </w:r>
          </w:p>
        </w:tc>
        <w:tc>
          <w:tcPr>
            <w:tcW w:w="2254" w:type="dxa"/>
            <w:vAlign w:val="bottom"/>
          </w:tcPr>
          <w:p w14:paraId="5FCC2B97"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8.2%</w:t>
            </w:r>
          </w:p>
        </w:tc>
      </w:tr>
      <w:tr w:rsidR="00712D81" w:rsidRPr="00165B05" w14:paraId="0B71D62F" w14:textId="77777777" w:rsidTr="00712D81">
        <w:tc>
          <w:tcPr>
            <w:tcW w:w="3539" w:type="dxa"/>
            <w:vAlign w:val="bottom"/>
          </w:tcPr>
          <w:p w14:paraId="45CB9576" w14:textId="77777777" w:rsidR="00712D81" w:rsidRPr="00651CA4" w:rsidRDefault="00712D81" w:rsidP="00712D81">
            <w:pPr>
              <w:rPr>
                <w:rFonts w:ascii="Calibri" w:eastAsia="Times New Roman" w:hAnsi="Calibri" w:cs="Calibri"/>
                <w:sz w:val="24"/>
                <w:szCs w:val="24"/>
                <w:lang w:eastAsia="en-GB"/>
              </w:rPr>
            </w:pPr>
            <w:r>
              <w:rPr>
                <w:rFonts w:ascii="Arial" w:hAnsi="Arial" w:cs="Arial"/>
                <w:sz w:val="20"/>
                <w:szCs w:val="20"/>
              </w:rPr>
              <w:t>Darlington</w:t>
            </w:r>
          </w:p>
        </w:tc>
        <w:tc>
          <w:tcPr>
            <w:tcW w:w="1611" w:type="dxa"/>
            <w:vAlign w:val="bottom"/>
          </w:tcPr>
          <w:p w14:paraId="2E31B060"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25.7%</w:t>
            </w:r>
          </w:p>
        </w:tc>
        <w:tc>
          <w:tcPr>
            <w:tcW w:w="1612" w:type="dxa"/>
            <w:vAlign w:val="bottom"/>
          </w:tcPr>
          <w:p w14:paraId="43482AEA"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33.9%</w:t>
            </w:r>
          </w:p>
        </w:tc>
        <w:tc>
          <w:tcPr>
            <w:tcW w:w="2254" w:type="dxa"/>
            <w:vAlign w:val="bottom"/>
          </w:tcPr>
          <w:p w14:paraId="42A33D42"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8.2%</w:t>
            </w:r>
          </w:p>
        </w:tc>
      </w:tr>
      <w:tr w:rsidR="00712D81" w:rsidRPr="00165B05" w14:paraId="45B01B43" w14:textId="77777777" w:rsidTr="00712D81">
        <w:tc>
          <w:tcPr>
            <w:tcW w:w="3539" w:type="dxa"/>
            <w:vAlign w:val="bottom"/>
          </w:tcPr>
          <w:p w14:paraId="29328E4F" w14:textId="77777777" w:rsidR="00712D81" w:rsidRPr="00651CA4" w:rsidRDefault="00712D81" w:rsidP="00712D81">
            <w:pPr>
              <w:rPr>
                <w:rFonts w:ascii="Calibri" w:eastAsia="Times New Roman" w:hAnsi="Calibri" w:cs="Calibri"/>
                <w:sz w:val="24"/>
                <w:szCs w:val="24"/>
                <w:lang w:eastAsia="en-GB"/>
              </w:rPr>
            </w:pPr>
            <w:r>
              <w:rPr>
                <w:rFonts w:ascii="Arial" w:hAnsi="Arial" w:cs="Arial"/>
                <w:sz w:val="20"/>
                <w:szCs w:val="20"/>
              </w:rPr>
              <w:t>Oldham</w:t>
            </w:r>
          </w:p>
        </w:tc>
        <w:tc>
          <w:tcPr>
            <w:tcW w:w="1611" w:type="dxa"/>
            <w:vAlign w:val="bottom"/>
          </w:tcPr>
          <w:p w14:paraId="138A403F"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31.8%</w:t>
            </w:r>
          </w:p>
        </w:tc>
        <w:tc>
          <w:tcPr>
            <w:tcW w:w="1612" w:type="dxa"/>
            <w:vAlign w:val="bottom"/>
          </w:tcPr>
          <w:p w14:paraId="39CF78AB"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39.9%</w:t>
            </w:r>
          </w:p>
        </w:tc>
        <w:tc>
          <w:tcPr>
            <w:tcW w:w="2254" w:type="dxa"/>
            <w:vAlign w:val="bottom"/>
          </w:tcPr>
          <w:p w14:paraId="67551268"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8.1%</w:t>
            </w:r>
          </w:p>
        </w:tc>
      </w:tr>
      <w:tr w:rsidR="00712D81" w:rsidRPr="00165B05" w14:paraId="21042A33" w14:textId="77777777" w:rsidTr="00712D81">
        <w:tc>
          <w:tcPr>
            <w:tcW w:w="3539" w:type="dxa"/>
            <w:vAlign w:val="bottom"/>
          </w:tcPr>
          <w:p w14:paraId="1012C05F" w14:textId="77777777" w:rsidR="00712D81" w:rsidRPr="00651CA4" w:rsidRDefault="00712D81" w:rsidP="00712D81">
            <w:pPr>
              <w:rPr>
                <w:rFonts w:ascii="Calibri" w:eastAsia="Times New Roman" w:hAnsi="Calibri" w:cs="Calibri"/>
                <w:sz w:val="24"/>
                <w:szCs w:val="24"/>
                <w:lang w:eastAsia="en-GB"/>
              </w:rPr>
            </w:pPr>
            <w:r>
              <w:rPr>
                <w:rFonts w:ascii="Arial" w:hAnsi="Arial" w:cs="Arial"/>
                <w:sz w:val="20"/>
                <w:szCs w:val="20"/>
              </w:rPr>
              <w:t>Pendle</w:t>
            </w:r>
          </w:p>
        </w:tc>
        <w:tc>
          <w:tcPr>
            <w:tcW w:w="1611" w:type="dxa"/>
            <w:vAlign w:val="bottom"/>
          </w:tcPr>
          <w:p w14:paraId="3A6AA69F"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31.0%</w:t>
            </w:r>
          </w:p>
        </w:tc>
        <w:tc>
          <w:tcPr>
            <w:tcW w:w="1612" w:type="dxa"/>
            <w:vAlign w:val="bottom"/>
          </w:tcPr>
          <w:p w14:paraId="2886FEC0"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38.8%</w:t>
            </w:r>
          </w:p>
        </w:tc>
        <w:tc>
          <w:tcPr>
            <w:tcW w:w="2254" w:type="dxa"/>
            <w:vAlign w:val="bottom"/>
          </w:tcPr>
          <w:p w14:paraId="5DE7CF2F"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7.8%</w:t>
            </w:r>
          </w:p>
        </w:tc>
      </w:tr>
      <w:tr w:rsidR="00712D81" w:rsidRPr="00165B05" w14:paraId="1C39B5D0" w14:textId="77777777" w:rsidTr="00712D81">
        <w:tc>
          <w:tcPr>
            <w:tcW w:w="3539" w:type="dxa"/>
            <w:vAlign w:val="bottom"/>
          </w:tcPr>
          <w:p w14:paraId="37D39E20" w14:textId="77777777" w:rsidR="00712D81" w:rsidRPr="00651CA4" w:rsidRDefault="00712D81" w:rsidP="00712D81">
            <w:pPr>
              <w:rPr>
                <w:rFonts w:ascii="Calibri" w:eastAsia="Times New Roman" w:hAnsi="Calibri" w:cs="Calibri"/>
                <w:sz w:val="24"/>
                <w:szCs w:val="24"/>
                <w:lang w:eastAsia="en-GB"/>
              </w:rPr>
            </w:pPr>
            <w:r>
              <w:rPr>
                <w:rFonts w:ascii="Arial" w:hAnsi="Arial" w:cs="Arial"/>
                <w:sz w:val="20"/>
                <w:szCs w:val="20"/>
              </w:rPr>
              <w:t>Northumberland</w:t>
            </w:r>
          </w:p>
        </w:tc>
        <w:tc>
          <w:tcPr>
            <w:tcW w:w="1611" w:type="dxa"/>
            <w:vAlign w:val="bottom"/>
          </w:tcPr>
          <w:p w14:paraId="4C6602EC"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24.3%</w:t>
            </w:r>
          </w:p>
        </w:tc>
        <w:tc>
          <w:tcPr>
            <w:tcW w:w="1612" w:type="dxa"/>
            <w:vAlign w:val="bottom"/>
          </w:tcPr>
          <w:p w14:paraId="008AF4A6"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32.0%</w:t>
            </w:r>
          </w:p>
        </w:tc>
        <w:tc>
          <w:tcPr>
            <w:tcW w:w="2254" w:type="dxa"/>
            <w:vAlign w:val="bottom"/>
          </w:tcPr>
          <w:p w14:paraId="6DD840C5"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7.7%</w:t>
            </w:r>
          </w:p>
        </w:tc>
      </w:tr>
      <w:tr w:rsidR="00712D81" w:rsidRPr="00165B05" w14:paraId="79336FEA" w14:textId="77777777" w:rsidTr="00712D81">
        <w:tc>
          <w:tcPr>
            <w:tcW w:w="3539" w:type="dxa"/>
            <w:vAlign w:val="bottom"/>
          </w:tcPr>
          <w:p w14:paraId="6D00AF52" w14:textId="77777777" w:rsidR="00712D81" w:rsidRPr="00651CA4" w:rsidRDefault="00712D81" w:rsidP="00712D81">
            <w:pPr>
              <w:rPr>
                <w:rFonts w:ascii="Calibri" w:eastAsia="Times New Roman" w:hAnsi="Calibri" w:cs="Calibri"/>
                <w:sz w:val="24"/>
                <w:szCs w:val="24"/>
                <w:lang w:eastAsia="en-GB"/>
              </w:rPr>
            </w:pPr>
            <w:r>
              <w:rPr>
                <w:rFonts w:ascii="Arial" w:hAnsi="Arial" w:cs="Arial"/>
                <w:sz w:val="20"/>
                <w:szCs w:val="20"/>
              </w:rPr>
              <w:t>Stockton-on-Tees</w:t>
            </w:r>
          </w:p>
        </w:tc>
        <w:tc>
          <w:tcPr>
            <w:tcW w:w="1611" w:type="dxa"/>
            <w:vAlign w:val="bottom"/>
          </w:tcPr>
          <w:p w14:paraId="4E52D6EC"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25.3%</w:t>
            </w:r>
          </w:p>
        </w:tc>
        <w:tc>
          <w:tcPr>
            <w:tcW w:w="1612" w:type="dxa"/>
            <w:vAlign w:val="bottom"/>
          </w:tcPr>
          <w:p w14:paraId="5B0BF892"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33.0%</w:t>
            </w:r>
          </w:p>
        </w:tc>
        <w:tc>
          <w:tcPr>
            <w:tcW w:w="2254" w:type="dxa"/>
            <w:vAlign w:val="bottom"/>
          </w:tcPr>
          <w:p w14:paraId="754BD4E6"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7.7%</w:t>
            </w:r>
          </w:p>
        </w:tc>
      </w:tr>
      <w:tr w:rsidR="00712D81" w:rsidRPr="00165B05" w14:paraId="1B93DC0A" w14:textId="77777777" w:rsidTr="00712D81">
        <w:tc>
          <w:tcPr>
            <w:tcW w:w="3539" w:type="dxa"/>
            <w:vAlign w:val="bottom"/>
          </w:tcPr>
          <w:p w14:paraId="455967A8" w14:textId="77777777" w:rsidR="00712D81" w:rsidRPr="00651CA4" w:rsidRDefault="00712D81" w:rsidP="00712D81">
            <w:pPr>
              <w:rPr>
                <w:rFonts w:ascii="Calibri" w:eastAsia="Times New Roman" w:hAnsi="Calibri" w:cs="Calibri"/>
                <w:sz w:val="24"/>
                <w:szCs w:val="24"/>
                <w:lang w:eastAsia="en-GB"/>
              </w:rPr>
            </w:pPr>
            <w:r>
              <w:rPr>
                <w:rFonts w:ascii="Arial" w:hAnsi="Arial" w:cs="Arial"/>
                <w:sz w:val="20"/>
                <w:szCs w:val="20"/>
              </w:rPr>
              <w:t>Nottingham</w:t>
            </w:r>
          </w:p>
        </w:tc>
        <w:tc>
          <w:tcPr>
            <w:tcW w:w="1611" w:type="dxa"/>
            <w:vAlign w:val="bottom"/>
          </w:tcPr>
          <w:p w14:paraId="11EA776B"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29.4%</w:t>
            </w:r>
          </w:p>
        </w:tc>
        <w:tc>
          <w:tcPr>
            <w:tcW w:w="1612" w:type="dxa"/>
            <w:vAlign w:val="bottom"/>
          </w:tcPr>
          <w:p w14:paraId="6AF4001C"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37.0%</w:t>
            </w:r>
          </w:p>
        </w:tc>
        <w:tc>
          <w:tcPr>
            <w:tcW w:w="2254" w:type="dxa"/>
            <w:vAlign w:val="bottom"/>
          </w:tcPr>
          <w:p w14:paraId="2DB533E0"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7.6%</w:t>
            </w:r>
          </w:p>
        </w:tc>
      </w:tr>
      <w:tr w:rsidR="00712D81" w:rsidRPr="00165B05" w14:paraId="6D58399D" w14:textId="77777777" w:rsidTr="00712D81">
        <w:tc>
          <w:tcPr>
            <w:tcW w:w="3539" w:type="dxa"/>
            <w:vAlign w:val="bottom"/>
          </w:tcPr>
          <w:p w14:paraId="126D1FF0" w14:textId="77777777" w:rsidR="00712D81" w:rsidRPr="00651CA4" w:rsidRDefault="00712D81" w:rsidP="00712D81">
            <w:pPr>
              <w:rPr>
                <w:rFonts w:ascii="Calibri" w:eastAsia="Times New Roman" w:hAnsi="Calibri" w:cs="Calibri"/>
                <w:sz w:val="24"/>
                <w:szCs w:val="24"/>
                <w:lang w:eastAsia="en-GB"/>
              </w:rPr>
            </w:pPr>
            <w:r>
              <w:rPr>
                <w:rFonts w:ascii="Arial" w:hAnsi="Arial" w:cs="Arial"/>
                <w:sz w:val="20"/>
                <w:szCs w:val="20"/>
              </w:rPr>
              <w:t>Birmingham</w:t>
            </w:r>
          </w:p>
        </w:tc>
        <w:tc>
          <w:tcPr>
            <w:tcW w:w="1611" w:type="dxa"/>
            <w:vAlign w:val="bottom"/>
          </w:tcPr>
          <w:p w14:paraId="7F6EE56B"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34.2%</w:t>
            </w:r>
          </w:p>
        </w:tc>
        <w:tc>
          <w:tcPr>
            <w:tcW w:w="1612" w:type="dxa"/>
            <w:vAlign w:val="bottom"/>
          </w:tcPr>
          <w:p w14:paraId="5C6432A7"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41.6%</w:t>
            </w:r>
          </w:p>
        </w:tc>
        <w:tc>
          <w:tcPr>
            <w:tcW w:w="2254" w:type="dxa"/>
            <w:vAlign w:val="bottom"/>
          </w:tcPr>
          <w:p w14:paraId="0AF82962"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7.4%</w:t>
            </w:r>
          </w:p>
        </w:tc>
      </w:tr>
      <w:tr w:rsidR="00712D81" w:rsidRPr="00165B05" w14:paraId="5B17A8AB" w14:textId="77777777" w:rsidTr="00712D81">
        <w:tc>
          <w:tcPr>
            <w:tcW w:w="3539" w:type="dxa"/>
            <w:vAlign w:val="bottom"/>
          </w:tcPr>
          <w:p w14:paraId="6CA731E5" w14:textId="77777777" w:rsidR="00712D81" w:rsidRPr="00651CA4" w:rsidRDefault="00712D81" w:rsidP="00712D81">
            <w:pPr>
              <w:rPr>
                <w:rFonts w:ascii="Calibri" w:eastAsia="Times New Roman" w:hAnsi="Calibri" w:cs="Calibri"/>
                <w:sz w:val="24"/>
                <w:szCs w:val="24"/>
                <w:lang w:eastAsia="en-GB"/>
              </w:rPr>
            </w:pPr>
            <w:r>
              <w:rPr>
                <w:rFonts w:ascii="Arial" w:hAnsi="Arial" w:cs="Arial"/>
                <w:sz w:val="20"/>
                <w:szCs w:val="20"/>
              </w:rPr>
              <w:t>North Tyneside</w:t>
            </w:r>
          </w:p>
        </w:tc>
        <w:tc>
          <w:tcPr>
            <w:tcW w:w="1611" w:type="dxa"/>
            <w:vAlign w:val="bottom"/>
          </w:tcPr>
          <w:p w14:paraId="653213C1"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23.7%</w:t>
            </w:r>
          </w:p>
        </w:tc>
        <w:tc>
          <w:tcPr>
            <w:tcW w:w="1612" w:type="dxa"/>
            <w:vAlign w:val="bottom"/>
          </w:tcPr>
          <w:p w14:paraId="4D2CACCD"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31.0%</w:t>
            </w:r>
          </w:p>
        </w:tc>
        <w:tc>
          <w:tcPr>
            <w:tcW w:w="2254" w:type="dxa"/>
            <w:vAlign w:val="bottom"/>
          </w:tcPr>
          <w:p w14:paraId="45EE1E92"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7.2%</w:t>
            </w:r>
          </w:p>
        </w:tc>
      </w:tr>
      <w:tr w:rsidR="00712D81" w:rsidRPr="00165B05" w14:paraId="6FDA4F93" w14:textId="77777777" w:rsidTr="00712D81">
        <w:tc>
          <w:tcPr>
            <w:tcW w:w="3539" w:type="dxa"/>
            <w:vAlign w:val="bottom"/>
          </w:tcPr>
          <w:p w14:paraId="35AE9BF6" w14:textId="77777777" w:rsidR="00712D81" w:rsidRPr="00651CA4" w:rsidRDefault="00712D81" w:rsidP="00712D81">
            <w:pPr>
              <w:rPr>
                <w:rFonts w:ascii="Calibri" w:eastAsia="Times New Roman" w:hAnsi="Calibri" w:cs="Calibri"/>
                <w:sz w:val="24"/>
                <w:szCs w:val="24"/>
                <w:lang w:eastAsia="en-GB"/>
              </w:rPr>
            </w:pPr>
            <w:r>
              <w:rPr>
                <w:rFonts w:ascii="Arial" w:hAnsi="Arial" w:cs="Arial"/>
                <w:sz w:val="20"/>
                <w:szCs w:val="20"/>
              </w:rPr>
              <w:t>Manchester</w:t>
            </w:r>
          </w:p>
        </w:tc>
        <w:tc>
          <w:tcPr>
            <w:tcW w:w="1611" w:type="dxa"/>
            <w:vAlign w:val="bottom"/>
          </w:tcPr>
          <w:p w14:paraId="06A1FF2B"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33.6%</w:t>
            </w:r>
          </w:p>
        </w:tc>
        <w:tc>
          <w:tcPr>
            <w:tcW w:w="1612" w:type="dxa"/>
            <w:vAlign w:val="bottom"/>
          </w:tcPr>
          <w:p w14:paraId="0FC6BD16"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40.6%</w:t>
            </w:r>
          </w:p>
        </w:tc>
        <w:tc>
          <w:tcPr>
            <w:tcW w:w="2254" w:type="dxa"/>
            <w:vAlign w:val="bottom"/>
          </w:tcPr>
          <w:p w14:paraId="5650ABC4"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7.0%</w:t>
            </w:r>
          </w:p>
        </w:tc>
      </w:tr>
    </w:tbl>
    <w:p w14:paraId="252B9E49" w14:textId="77777777" w:rsidR="00712D81" w:rsidRPr="00165B05" w:rsidRDefault="00712D81" w:rsidP="00712D81">
      <w:pPr>
        <w:rPr>
          <w:sz w:val="24"/>
          <w:szCs w:val="24"/>
        </w:rPr>
      </w:pPr>
    </w:p>
    <w:p w14:paraId="15640EF2" w14:textId="70552B33" w:rsidR="00712D81" w:rsidRDefault="00712D81" w:rsidP="00712D81">
      <w:pPr>
        <w:spacing w:after="0" w:line="240" w:lineRule="auto"/>
        <w:ind w:left="1440" w:hanging="1440"/>
        <w:rPr>
          <w:b/>
          <w:bCs/>
          <w:sz w:val="24"/>
          <w:szCs w:val="24"/>
        </w:rPr>
      </w:pPr>
      <w:r w:rsidRPr="00165B05">
        <w:rPr>
          <w:b/>
          <w:bCs/>
          <w:sz w:val="24"/>
          <w:szCs w:val="24"/>
        </w:rPr>
        <w:t>Ta</w:t>
      </w:r>
      <w:r w:rsidR="000128E1">
        <w:rPr>
          <w:b/>
          <w:bCs/>
          <w:sz w:val="24"/>
          <w:szCs w:val="24"/>
        </w:rPr>
        <w:t>ble 4</w:t>
      </w:r>
      <w:r w:rsidRPr="00165B05">
        <w:rPr>
          <w:b/>
          <w:bCs/>
          <w:sz w:val="24"/>
          <w:szCs w:val="24"/>
        </w:rPr>
        <w:tab/>
        <w:t xml:space="preserve">The 20 </w:t>
      </w:r>
      <w:r>
        <w:rPr>
          <w:b/>
          <w:bCs/>
          <w:sz w:val="24"/>
          <w:szCs w:val="24"/>
        </w:rPr>
        <w:t>constituencies</w:t>
      </w:r>
      <w:r w:rsidRPr="00165B05">
        <w:rPr>
          <w:b/>
          <w:bCs/>
          <w:sz w:val="24"/>
          <w:szCs w:val="24"/>
        </w:rPr>
        <w:t xml:space="preserve"> with </w:t>
      </w:r>
      <w:r>
        <w:rPr>
          <w:b/>
          <w:bCs/>
          <w:sz w:val="24"/>
          <w:szCs w:val="24"/>
        </w:rPr>
        <w:t xml:space="preserve">highest increase in child poverty rates, 2014/15 to </w:t>
      </w:r>
      <w:r w:rsidRPr="00165B05">
        <w:rPr>
          <w:b/>
          <w:bCs/>
          <w:sz w:val="24"/>
          <w:szCs w:val="24"/>
        </w:rPr>
        <w:t>2018/19</w:t>
      </w:r>
    </w:p>
    <w:p w14:paraId="3A9E04C6" w14:textId="77777777" w:rsidR="00712D81" w:rsidRDefault="00712D81" w:rsidP="00712D81">
      <w:pPr>
        <w:spacing w:after="0" w:line="240" w:lineRule="auto"/>
        <w:ind w:left="1440" w:hanging="1440"/>
        <w:rPr>
          <w:b/>
          <w:bCs/>
          <w:sz w:val="24"/>
          <w:szCs w:val="24"/>
        </w:rPr>
      </w:pPr>
    </w:p>
    <w:tbl>
      <w:tblPr>
        <w:tblStyle w:val="TableGrid"/>
        <w:tblW w:w="0" w:type="auto"/>
        <w:tblLook w:val="04A0" w:firstRow="1" w:lastRow="0" w:firstColumn="1" w:lastColumn="0" w:noHBand="0" w:noVBand="1"/>
      </w:tblPr>
      <w:tblGrid>
        <w:gridCol w:w="3539"/>
        <w:gridCol w:w="1611"/>
        <w:gridCol w:w="1612"/>
        <w:gridCol w:w="2254"/>
      </w:tblGrid>
      <w:tr w:rsidR="00BB4C69" w:rsidRPr="00165B05" w14:paraId="33DD973C" w14:textId="77777777" w:rsidTr="00712D81">
        <w:tc>
          <w:tcPr>
            <w:tcW w:w="3539" w:type="dxa"/>
            <w:vMerge w:val="restart"/>
            <w:shd w:val="clear" w:color="auto" w:fill="B4C6E7" w:themeFill="accent1" w:themeFillTint="66"/>
          </w:tcPr>
          <w:p w14:paraId="5B29F5DF" w14:textId="6D1C2DD5" w:rsidR="00BB4C69" w:rsidRPr="00651CA4" w:rsidRDefault="00BB4C69" w:rsidP="00712D81">
            <w:pPr>
              <w:rPr>
                <w:rFonts w:ascii="Calibri" w:eastAsia="Times New Roman" w:hAnsi="Calibri" w:cs="Calibri"/>
                <w:b/>
                <w:bCs/>
                <w:sz w:val="24"/>
                <w:szCs w:val="24"/>
                <w:lang w:eastAsia="en-GB"/>
              </w:rPr>
            </w:pPr>
            <w:r w:rsidRPr="008A64EE">
              <w:rPr>
                <w:rFonts w:ascii="Calibri" w:eastAsia="Times New Roman" w:hAnsi="Calibri" w:cs="Calibri"/>
                <w:sz w:val="24"/>
                <w:szCs w:val="24"/>
                <w:lang w:eastAsia="en-GB"/>
              </w:rPr>
              <w:t>Constituency</w:t>
            </w:r>
          </w:p>
        </w:tc>
        <w:tc>
          <w:tcPr>
            <w:tcW w:w="5477" w:type="dxa"/>
            <w:gridSpan w:val="3"/>
            <w:shd w:val="clear" w:color="auto" w:fill="B4C6E7" w:themeFill="accent1" w:themeFillTint="66"/>
          </w:tcPr>
          <w:p w14:paraId="73CA52F6" w14:textId="77777777" w:rsidR="00BB4C69" w:rsidRPr="00687421" w:rsidRDefault="00BB4C69" w:rsidP="00712D81">
            <w:pPr>
              <w:jc w:val="center"/>
              <w:rPr>
                <w:rFonts w:ascii="Calibri" w:eastAsia="Times New Roman" w:hAnsi="Calibri" w:cs="Calibri"/>
                <w:b/>
                <w:bCs/>
                <w:sz w:val="24"/>
                <w:szCs w:val="24"/>
                <w:lang w:eastAsia="en-GB"/>
              </w:rPr>
            </w:pPr>
            <w:r w:rsidRPr="00687421">
              <w:rPr>
                <w:rFonts w:ascii="Calibri" w:eastAsia="Times New Roman" w:hAnsi="Calibri" w:cs="Calibri"/>
                <w:b/>
                <w:bCs/>
                <w:sz w:val="24"/>
                <w:szCs w:val="24"/>
                <w:lang w:eastAsia="en-GB"/>
              </w:rPr>
              <w:t>% of children below 60% median income AHC</w:t>
            </w:r>
          </w:p>
        </w:tc>
      </w:tr>
      <w:tr w:rsidR="00BB4C69" w:rsidRPr="00165B05" w14:paraId="7F672CEE" w14:textId="77777777" w:rsidTr="00712D81">
        <w:tc>
          <w:tcPr>
            <w:tcW w:w="3539" w:type="dxa"/>
            <w:vMerge/>
            <w:shd w:val="clear" w:color="auto" w:fill="B4C6E7" w:themeFill="accent1" w:themeFillTint="66"/>
          </w:tcPr>
          <w:p w14:paraId="56FFB9FA" w14:textId="147BD161" w:rsidR="00BB4C69" w:rsidRPr="008A64EE" w:rsidRDefault="00BB4C69" w:rsidP="00712D81">
            <w:pPr>
              <w:rPr>
                <w:rFonts w:ascii="Calibri" w:eastAsia="Times New Roman" w:hAnsi="Calibri" w:cs="Calibri"/>
                <w:sz w:val="24"/>
                <w:szCs w:val="24"/>
                <w:lang w:eastAsia="en-GB"/>
              </w:rPr>
            </w:pPr>
          </w:p>
        </w:tc>
        <w:tc>
          <w:tcPr>
            <w:tcW w:w="1611" w:type="dxa"/>
            <w:shd w:val="clear" w:color="auto" w:fill="B4C6E7" w:themeFill="accent1" w:themeFillTint="66"/>
          </w:tcPr>
          <w:p w14:paraId="2B8E9C37" w14:textId="77777777" w:rsidR="00BB4C69" w:rsidRPr="00651CA4" w:rsidRDefault="00BB4C69" w:rsidP="00712D81">
            <w:pPr>
              <w:jc w:val="center"/>
              <w:rPr>
                <w:rFonts w:ascii="Calibri" w:eastAsia="Times New Roman" w:hAnsi="Calibri" w:cs="Calibri"/>
                <w:b/>
                <w:bCs/>
                <w:sz w:val="24"/>
                <w:szCs w:val="24"/>
                <w:lang w:eastAsia="en-GB"/>
              </w:rPr>
            </w:pPr>
            <w:r w:rsidRPr="00651CA4">
              <w:rPr>
                <w:rFonts w:ascii="Calibri" w:eastAsia="Times New Roman" w:hAnsi="Calibri" w:cs="Calibri"/>
                <w:sz w:val="24"/>
                <w:szCs w:val="24"/>
                <w:lang w:eastAsia="en-GB"/>
              </w:rPr>
              <w:t>2014/15</w:t>
            </w:r>
          </w:p>
        </w:tc>
        <w:tc>
          <w:tcPr>
            <w:tcW w:w="1612" w:type="dxa"/>
            <w:shd w:val="clear" w:color="auto" w:fill="B4C6E7" w:themeFill="accent1" w:themeFillTint="66"/>
          </w:tcPr>
          <w:p w14:paraId="190BAF24" w14:textId="77777777" w:rsidR="00BB4C69" w:rsidRPr="00651CA4" w:rsidRDefault="00BB4C69" w:rsidP="00712D81">
            <w:pPr>
              <w:jc w:val="center"/>
              <w:rPr>
                <w:rFonts w:ascii="Calibri" w:eastAsia="Times New Roman" w:hAnsi="Calibri" w:cs="Calibri"/>
                <w:b/>
                <w:bCs/>
                <w:sz w:val="24"/>
                <w:szCs w:val="24"/>
                <w:lang w:eastAsia="en-GB"/>
              </w:rPr>
            </w:pPr>
            <w:r w:rsidRPr="00651CA4">
              <w:rPr>
                <w:rFonts w:ascii="Calibri" w:eastAsia="Times New Roman" w:hAnsi="Calibri" w:cs="Calibri"/>
                <w:sz w:val="24"/>
                <w:szCs w:val="24"/>
                <w:lang w:eastAsia="en-GB"/>
              </w:rPr>
              <w:t>2018/19</w:t>
            </w:r>
          </w:p>
        </w:tc>
        <w:tc>
          <w:tcPr>
            <w:tcW w:w="2254" w:type="dxa"/>
            <w:shd w:val="clear" w:color="auto" w:fill="B4C6E7" w:themeFill="accent1" w:themeFillTint="66"/>
          </w:tcPr>
          <w:p w14:paraId="704AC4A7" w14:textId="77777777" w:rsidR="00BB4C69" w:rsidRPr="008A64EE" w:rsidRDefault="00BB4C69" w:rsidP="00712D81">
            <w:pPr>
              <w:rPr>
                <w:rFonts w:ascii="Calibri" w:eastAsia="Times New Roman" w:hAnsi="Calibri" w:cs="Calibri"/>
                <w:sz w:val="24"/>
                <w:szCs w:val="24"/>
                <w:lang w:eastAsia="en-GB"/>
              </w:rPr>
            </w:pPr>
            <w:r w:rsidRPr="008A64EE">
              <w:rPr>
                <w:rFonts w:ascii="Calibri" w:eastAsia="Times New Roman" w:hAnsi="Calibri" w:cs="Calibri"/>
                <w:sz w:val="24"/>
                <w:szCs w:val="24"/>
                <w:lang w:eastAsia="en-GB"/>
              </w:rPr>
              <w:t>%age point increase</w:t>
            </w:r>
          </w:p>
        </w:tc>
      </w:tr>
      <w:tr w:rsidR="00712D81" w:rsidRPr="00165B05" w14:paraId="315BC481" w14:textId="77777777" w:rsidTr="00712D81">
        <w:tc>
          <w:tcPr>
            <w:tcW w:w="3539" w:type="dxa"/>
          </w:tcPr>
          <w:p w14:paraId="3433A6D0" w14:textId="77777777" w:rsidR="00712D81" w:rsidRPr="00687421" w:rsidRDefault="00712D81" w:rsidP="00712D81">
            <w:pPr>
              <w:rPr>
                <w:rFonts w:ascii="Calibri" w:hAnsi="Calibri" w:cs="Calibri"/>
                <w:b/>
                <w:bCs/>
                <w:sz w:val="24"/>
                <w:szCs w:val="24"/>
              </w:rPr>
            </w:pPr>
            <w:r>
              <w:rPr>
                <w:rFonts w:ascii="Calibri" w:hAnsi="Calibri" w:cs="Calibri"/>
                <w:b/>
                <w:bCs/>
                <w:sz w:val="24"/>
                <w:szCs w:val="24"/>
              </w:rPr>
              <w:t>UK</w:t>
            </w:r>
          </w:p>
        </w:tc>
        <w:tc>
          <w:tcPr>
            <w:tcW w:w="1611" w:type="dxa"/>
          </w:tcPr>
          <w:p w14:paraId="3C93593F" w14:textId="77777777" w:rsidR="00712D81" w:rsidRPr="00687421" w:rsidRDefault="00712D81" w:rsidP="00712D81">
            <w:pPr>
              <w:tabs>
                <w:tab w:val="decimal" w:pos="552"/>
              </w:tabs>
              <w:rPr>
                <w:rFonts w:ascii="Calibri" w:hAnsi="Calibri" w:cs="Calibri"/>
                <w:b/>
                <w:bCs/>
                <w:sz w:val="24"/>
                <w:szCs w:val="24"/>
              </w:rPr>
            </w:pPr>
            <w:r w:rsidRPr="00687421">
              <w:rPr>
                <w:rFonts w:ascii="Calibri" w:hAnsi="Calibri" w:cs="Calibri"/>
                <w:b/>
                <w:bCs/>
                <w:sz w:val="24"/>
                <w:szCs w:val="24"/>
              </w:rPr>
              <w:t>28%</w:t>
            </w:r>
          </w:p>
        </w:tc>
        <w:tc>
          <w:tcPr>
            <w:tcW w:w="1612" w:type="dxa"/>
          </w:tcPr>
          <w:p w14:paraId="7BD39E00" w14:textId="77777777" w:rsidR="00712D81" w:rsidRPr="00687421" w:rsidRDefault="00712D81" w:rsidP="00712D81">
            <w:pPr>
              <w:tabs>
                <w:tab w:val="decimal" w:pos="702"/>
              </w:tabs>
              <w:rPr>
                <w:rFonts w:ascii="Calibri" w:hAnsi="Calibri" w:cs="Calibri"/>
                <w:b/>
                <w:bCs/>
                <w:sz w:val="24"/>
                <w:szCs w:val="24"/>
              </w:rPr>
            </w:pPr>
            <w:r w:rsidRPr="00687421">
              <w:rPr>
                <w:rFonts w:ascii="Calibri" w:hAnsi="Calibri" w:cs="Calibri"/>
                <w:b/>
                <w:bCs/>
                <w:sz w:val="24"/>
                <w:szCs w:val="24"/>
              </w:rPr>
              <w:t>30%</w:t>
            </w:r>
          </w:p>
        </w:tc>
        <w:tc>
          <w:tcPr>
            <w:tcW w:w="2254" w:type="dxa"/>
          </w:tcPr>
          <w:p w14:paraId="00615739" w14:textId="77777777" w:rsidR="00712D81" w:rsidRPr="00687421" w:rsidRDefault="00712D81" w:rsidP="00712D81">
            <w:pPr>
              <w:tabs>
                <w:tab w:val="decimal" w:pos="935"/>
              </w:tabs>
              <w:rPr>
                <w:rFonts w:ascii="Calibri" w:hAnsi="Calibri" w:cs="Calibri"/>
                <w:b/>
                <w:bCs/>
                <w:sz w:val="24"/>
                <w:szCs w:val="24"/>
              </w:rPr>
            </w:pPr>
            <w:r w:rsidRPr="00687421">
              <w:rPr>
                <w:rFonts w:ascii="Calibri" w:eastAsia="Times New Roman" w:hAnsi="Calibri" w:cs="Calibri"/>
                <w:b/>
                <w:bCs/>
                <w:sz w:val="24"/>
                <w:szCs w:val="24"/>
                <w:lang w:eastAsia="en-GB"/>
              </w:rPr>
              <w:t>2%</w:t>
            </w:r>
          </w:p>
        </w:tc>
      </w:tr>
      <w:tr w:rsidR="00712D81" w:rsidRPr="00165B05" w14:paraId="7AD08E44" w14:textId="77777777" w:rsidTr="00712D81">
        <w:tc>
          <w:tcPr>
            <w:tcW w:w="3539" w:type="dxa"/>
            <w:vAlign w:val="bottom"/>
          </w:tcPr>
          <w:p w14:paraId="288E5571" w14:textId="77777777" w:rsidR="00712D81" w:rsidRPr="00651CA4" w:rsidRDefault="00712D81" w:rsidP="00712D81">
            <w:pPr>
              <w:rPr>
                <w:rFonts w:ascii="Calibri" w:hAnsi="Calibri" w:cs="Calibri"/>
                <w:sz w:val="24"/>
                <w:szCs w:val="24"/>
              </w:rPr>
            </w:pPr>
            <w:r>
              <w:rPr>
                <w:rFonts w:ascii="Arial" w:hAnsi="Arial" w:cs="Arial"/>
                <w:sz w:val="20"/>
                <w:szCs w:val="20"/>
              </w:rPr>
              <w:t xml:space="preserve">Middlesbrough </w:t>
            </w:r>
          </w:p>
        </w:tc>
        <w:tc>
          <w:tcPr>
            <w:tcW w:w="1611" w:type="dxa"/>
            <w:vAlign w:val="bottom"/>
          </w:tcPr>
          <w:p w14:paraId="7770AA56"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31.2%</w:t>
            </w:r>
          </w:p>
        </w:tc>
        <w:tc>
          <w:tcPr>
            <w:tcW w:w="1612" w:type="dxa"/>
            <w:vAlign w:val="bottom"/>
          </w:tcPr>
          <w:p w14:paraId="3843A0BA"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47.2%</w:t>
            </w:r>
          </w:p>
        </w:tc>
        <w:tc>
          <w:tcPr>
            <w:tcW w:w="2254" w:type="dxa"/>
            <w:vAlign w:val="bottom"/>
          </w:tcPr>
          <w:p w14:paraId="1579C03D"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16.0%</w:t>
            </w:r>
          </w:p>
        </w:tc>
      </w:tr>
      <w:tr w:rsidR="00712D81" w:rsidRPr="00165B05" w14:paraId="5CFBAFCE" w14:textId="77777777" w:rsidTr="00712D81">
        <w:tc>
          <w:tcPr>
            <w:tcW w:w="3539" w:type="dxa"/>
            <w:vAlign w:val="bottom"/>
          </w:tcPr>
          <w:p w14:paraId="2DEECA0E" w14:textId="77777777" w:rsidR="00712D81" w:rsidRPr="00651CA4" w:rsidRDefault="00712D81" w:rsidP="00712D81">
            <w:pPr>
              <w:rPr>
                <w:rFonts w:ascii="Calibri" w:hAnsi="Calibri" w:cs="Calibri"/>
                <w:sz w:val="24"/>
                <w:szCs w:val="24"/>
              </w:rPr>
            </w:pPr>
            <w:r>
              <w:rPr>
                <w:rFonts w:ascii="Arial" w:hAnsi="Arial" w:cs="Arial"/>
                <w:sz w:val="20"/>
                <w:szCs w:val="20"/>
              </w:rPr>
              <w:t xml:space="preserve">Newcastle upon Tyne Central </w:t>
            </w:r>
          </w:p>
        </w:tc>
        <w:tc>
          <w:tcPr>
            <w:tcW w:w="1611" w:type="dxa"/>
            <w:vAlign w:val="bottom"/>
          </w:tcPr>
          <w:p w14:paraId="3CCA3E99"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31.7%</w:t>
            </w:r>
          </w:p>
        </w:tc>
        <w:tc>
          <w:tcPr>
            <w:tcW w:w="1612" w:type="dxa"/>
            <w:vAlign w:val="bottom"/>
          </w:tcPr>
          <w:p w14:paraId="35D0404F"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45.2%</w:t>
            </w:r>
          </w:p>
        </w:tc>
        <w:tc>
          <w:tcPr>
            <w:tcW w:w="2254" w:type="dxa"/>
            <w:vAlign w:val="bottom"/>
          </w:tcPr>
          <w:p w14:paraId="113FF08B"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13.5%</w:t>
            </w:r>
          </w:p>
        </w:tc>
      </w:tr>
      <w:tr w:rsidR="00712D81" w:rsidRPr="00165B05" w14:paraId="3E33A5B9" w14:textId="77777777" w:rsidTr="00712D81">
        <w:tc>
          <w:tcPr>
            <w:tcW w:w="3539" w:type="dxa"/>
            <w:vAlign w:val="bottom"/>
          </w:tcPr>
          <w:p w14:paraId="3E944B3A" w14:textId="77777777" w:rsidR="00712D81" w:rsidRPr="00651CA4" w:rsidRDefault="00712D81" w:rsidP="00712D81">
            <w:pPr>
              <w:rPr>
                <w:rFonts w:ascii="Calibri" w:hAnsi="Calibri" w:cs="Calibri"/>
                <w:sz w:val="24"/>
                <w:szCs w:val="24"/>
              </w:rPr>
            </w:pPr>
            <w:r>
              <w:rPr>
                <w:rFonts w:ascii="Arial" w:hAnsi="Arial" w:cs="Arial"/>
                <w:sz w:val="20"/>
                <w:szCs w:val="20"/>
              </w:rPr>
              <w:t xml:space="preserve">Birmingham Hodge Hill </w:t>
            </w:r>
          </w:p>
        </w:tc>
        <w:tc>
          <w:tcPr>
            <w:tcW w:w="1611" w:type="dxa"/>
            <w:vAlign w:val="bottom"/>
          </w:tcPr>
          <w:p w14:paraId="5A16BE4B"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40.5%</w:t>
            </w:r>
          </w:p>
        </w:tc>
        <w:tc>
          <w:tcPr>
            <w:tcW w:w="1612" w:type="dxa"/>
            <w:vAlign w:val="bottom"/>
          </w:tcPr>
          <w:p w14:paraId="358F355D"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53.8%</w:t>
            </w:r>
          </w:p>
        </w:tc>
        <w:tc>
          <w:tcPr>
            <w:tcW w:w="2254" w:type="dxa"/>
            <w:vAlign w:val="bottom"/>
          </w:tcPr>
          <w:p w14:paraId="51FEFCC3"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13.4%</w:t>
            </w:r>
          </w:p>
        </w:tc>
      </w:tr>
      <w:tr w:rsidR="00712D81" w:rsidRPr="00165B05" w14:paraId="797E354B" w14:textId="77777777" w:rsidTr="00712D81">
        <w:tc>
          <w:tcPr>
            <w:tcW w:w="3539" w:type="dxa"/>
            <w:vAlign w:val="bottom"/>
          </w:tcPr>
          <w:p w14:paraId="5E697EBA" w14:textId="77777777" w:rsidR="00712D81" w:rsidRPr="00651CA4" w:rsidRDefault="00712D81" w:rsidP="00712D81">
            <w:pPr>
              <w:rPr>
                <w:rFonts w:ascii="Calibri" w:hAnsi="Calibri" w:cs="Calibri"/>
                <w:sz w:val="24"/>
                <w:szCs w:val="24"/>
              </w:rPr>
            </w:pPr>
            <w:r>
              <w:rPr>
                <w:rFonts w:ascii="Arial" w:hAnsi="Arial" w:cs="Arial"/>
                <w:sz w:val="20"/>
                <w:szCs w:val="20"/>
              </w:rPr>
              <w:t xml:space="preserve">Bradford West </w:t>
            </w:r>
          </w:p>
        </w:tc>
        <w:tc>
          <w:tcPr>
            <w:tcW w:w="1611" w:type="dxa"/>
            <w:vAlign w:val="bottom"/>
          </w:tcPr>
          <w:p w14:paraId="102F7B37"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34.9%</w:t>
            </w:r>
          </w:p>
        </w:tc>
        <w:tc>
          <w:tcPr>
            <w:tcW w:w="1612" w:type="dxa"/>
            <w:vAlign w:val="bottom"/>
          </w:tcPr>
          <w:p w14:paraId="0896B810"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47.8%</w:t>
            </w:r>
          </w:p>
        </w:tc>
        <w:tc>
          <w:tcPr>
            <w:tcW w:w="2254" w:type="dxa"/>
            <w:vAlign w:val="bottom"/>
          </w:tcPr>
          <w:p w14:paraId="191FF171"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12.9%</w:t>
            </w:r>
          </w:p>
        </w:tc>
      </w:tr>
      <w:tr w:rsidR="00712D81" w:rsidRPr="00165B05" w14:paraId="4F2BF2E0" w14:textId="77777777" w:rsidTr="00712D81">
        <w:tc>
          <w:tcPr>
            <w:tcW w:w="3539" w:type="dxa"/>
            <w:vAlign w:val="bottom"/>
          </w:tcPr>
          <w:p w14:paraId="79CF75C1" w14:textId="77777777" w:rsidR="00712D81" w:rsidRPr="00651CA4" w:rsidRDefault="00712D81" w:rsidP="00712D81">
            <w:pPr>
              <w:rPr>
                <w:rFonts w:ascii="Calibri" w:hAnsi="Calibri" w:cs="Calibri"/>
                <w:sz w:val="24"/>
                <w:szCs w:val="24"/>
              </w:rPr>
            </w:pPr>
            <w:r>
              <w:rPr>
                <w:rFonts w:ascii="Arial" w:hAnsi="Arial" w:cs="Arial"/>
                <w:sz w:val="20"/>
                <w:szCs w:val="20"/>
              </w:rPr>
              <w:t xml:space="preserve">Birmingham Ladywood </w:t>
            </w:r>
          </w:p>
        </w:tc>
        <w:tc>
          <w:tcPr>
            <w:tcW w:w="1611" w:type="dxa"/>
            <w:vAlign w:val="bottom"/>
          </w:tcPr>
          <w:p w14:paraId="26E56287"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41.8%</w:t>
            </w:r>
          </w:p>
        </w:tc>
        <w:tc>
          <w:tcPr>
            <w:tcW w:w="1612" w:type="dxa"/>
            <w:vAlign w:val="bottom"/>
          </w:tcPr>
          <w:p w14:paraId="4901A0CC"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54.5%</w:t>
            </w:r>
          </w:p>
        </w:tc>
        <w:tc>
          <w:tcPr>
            <w:tcW w:w="2254" w:type="dxa"/>
            <w:vAlign w:val="bottom"/>
          </w:tcPr>
          <w:p w14:paraId="5E827E16"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12.7%</w:t>
            </w:r>
          </w:p>
        </w:tc>
      </w:tr>
      <w:tr w:rsidR="00712D81" w:rsidRPr="00165B05" w14:paraId="5F884666" w14:textId="77777777" w:rsidTr="00712D81">
        <w:tc>
          <w:tcPr>
            <w:tcW w:w="3539" w:type="dxa"/>
            <w:vAlign w:val="bottom"/>
          </w:tcPr>
          <w:p w14:paraId="64114FE4" w14:textId="77777777" w:rsidR="00712D81" w:rsidRPr="00651CA4" w:rsidRDefault="00712D81" w:rsidP="00712D81">
            <w:pPr>
              <w:rPr>
                <w:rFonts w:ascii="Calibri" w:hAnsi="Calibri" w:cs="Calibri"/>
                <w:sz w:val="24"/>
                <w:szCs w:val="24"/>
              </w:rPr>
            </w:pPr>
            <w:r>
              <w:rPr>
                <w:rFonts w:ascii="Arial" w:hAnsi="Arial" w:cs="Arial"/>
                <w:sz w:val="20"/>
                <w:szCs w:val="20"/>
              </w:rPr>
              <w:t xml:space="preserve">Birmingham Yardley </w:t>
            </w:r>
          </w:p>
        </w:tc>
        <w:tc>
          <w:tcPr>
            <w:tcW w:w="1611" w:type="dxa"/>
            <w:vAlign w:val="bottom"/>
          </w:tcPr>
          <w:p w14:paraId="0732D9D7"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32.4%</w:t>
            </w:r>
          </w:p>
        </w:tc>
        <w:tc>
          <w:tcPr>
            <w:tcW w:w="1612" w:type="dxa"/>
            <w:vAlign w:val="bottom"/>
          </w:tcPr>
          <w:p w14:paraId="44DBB1D2"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44.7%</w:t>
            </w:r>
          </w:p>
        </w:tc>
        <w:tc>
          <w:tcPr>
            <w:tcW w:w="2254" w:type="dxa"/>
            <w:vAlign w:val="bottom"/>
          </w:tcPr>
          <w:p w14:paraId="3B419F47"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12.4%</w:t>
            </w:r>
          </w:p>
        </w:tc>
      </w:tr>
      <w:tr w:rsidR="00712D81" w:rsidRPr="00165B05" w14:paraId="34D7C2A7" w14:textId="77777777" w:rsidTr="00712D81">
        <w:tc>
          <w:tcPr>
            <w:tcW w:w="3539" w:type="dxa"/>
            <w:vAlign w:val="bottom"/>
          </w:tcPr>
          <w:p w14:paraId="0A01AE92" w14:textId="77777777" w:rsidR="00712D81" w:rsidRPr="00651CA4" w:rsidRDefault="00712D81" w:rsidP="00712D81">
            <w:pPr>
              <w:rPr>
                <w:rFonts w:ascii="Calibri" w:hAnsi="Calibri" w:cs="Calibri"/>
                <w:sz w:val="24"/>
                <w:szCs w:val="24"/>
              </w:rPr>
            </w:pPr>
            <w:r>
              <w:rPr>
                <w:rFonts w:ascii="Arial" w:hAnsi="Arial" w:cs="Arial"/>
                <w:sz w:val="20"/>
                <w:szCs w:val="20"/>
              </w:rPr>
              <w:t xml:space="preserve">South Shields </w:t>
            </w:r>
          </w:p>
        </w:tc>
        <w:tc>
          <w:tcPr>
            <w:tcW w:w="1611" w:type="dxa"/>
            <w:vAlign w:val="bottom"/>
          </w:tcPr>
          <w:p w14:paraId="7D92BFA6"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28.2%</w:t>
            </w:r>
          </w:p>
        </w:tc>
        <w:tc>
          <w:tcPr>
            <w:tcW w:w="1612" w:type="dxa"/>
            <w:vAlign w:val="bottom"/>
          </w:tcPr>
          <w:p w14:paraId="01CF2E62"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39.3%</w:t>
            </w:r>
          </w:p>
        </w:tc>
        <w:tc>
          <w:tcPr>
            <w:tcW w:w="2254" w:type="dxa"/>
            <w:vAlign w:val="bottom"/>
          </w:tcPr>
          <w:p w14:paraId="04330872"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11.1%</w:t>
            </w:r>
          </w:p>
        </w:tc>
      </w:tr>
      <w:tr w:rsidR="00712D81" w:rsidRPr="00165B05" w14:paraId="7FEA9959" w14:textId="77777777" w:rsidTr="00712D81">
        <w:tc>
          <w:tcPr>
            <w:tcW w:w="3539" w:type="dxa"/>
            <w:vAlign w:val="bottom"/>
          </w:tcPr>
          <w:p w14:paraId="545344D8" w14:textId="77777777" w:rsidR="00712D81" w:rsidRPr="00651CA4" w:rsidRDefault="00712D81" w:rsidP="00712D81">
            <w:pPr>
              <w:rPr>
                <w:rFonts w:ascii="Calibri" w:eastAsia="Times New Roman" w:hAnsi="Calibri" w:cs="Calibri"/>
                <w:sz w:val="24"/>
                <w:szCs w:val="24"/>
                <w:lang w:eastAsia="en-GB"/>
              </w:rPr>
            </w:pPr>
            <w:r>
              <w:rPr>
                <w:rFonts w:ascii="Arial" w:hAnsi="Arial" w:cs="Arial"/>
                <w:sz w:val="20"/>
                <w:szCs w:val="20"/>
              </w:rPr>
              <w:t xml:space="preserve">Bradford East </w:t>
            </w:r>
          </w:p>
        </w:tc>
        <w:tc>
          <w:tcPr>
            <w:tcW w:w="1611" w:type="dxa"/>
            <w:vAlign w:val="bottom"/>
          </w:tcPr>
          <w:p w14:paraId="1984E84D"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36.4%</w:t>
            </w:r>
          </w:p>
        </w:tc>
        <w:tc>
          <w:tcPr>
            <w:tcW w:w="1612" w:type="dxa"/>
            <w:vAlign w:val="bottom"/>
          </w:tcPr>
          <w:p w14:paraId="1AD09B41"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46.9%</w:t>
            </w:r>
          </w:p>
        </w:tc>
        <w:tc>
          <w:tcPr>
            <w:tcW w:w="2254" w:type="dxa"/>
            <w:vAlign w:val="bottom"/>
          </w:tcPr>
          <w:p w14:paraId="4FE0D8D1"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10.5%</w:t>
            </w:r>
          </w:p>
        </w:tc>
      </w:tr>
      <w:tr w:rsidR="00712D81" w:rsidRPr="00165B05" w14:paraId="60D77DAA" w14:textId="77777777" w:rsidTr="00712D81">
        <w:tc>
          <w:tcPr>
            <w:tcW w:w="3539" w:type="dxa"/>
            <w:vAlign w:val="bottom"/>
          </w:tcPr>
          <w:p w14:paraId="6609D9D9" w14:textId="77777777" w:rsidR="00712D81" w:rsidRPr="00651CA4" w:rsidRDefault="00712D81" w:rsidP="00712D81">
            <w:pPr>
              <w:rPr>
                <w:rFonts w:ascii="Calibri" w:eastAsia="Times New Roman" w:hAnsi="Calibri" w:cs="Calibri"/>
                <w:sz w:val="24"/>
                <w:szCs w:val="24"/>
                <w:lang w:eastAsia="en-GB"/>
              </w:rPr>
            </w:pPr>
            <w:r>
              <w:rPr>
                <w:rFonts w:ascii="Arial" w:hAnsi="Arial" w:cs="Arial"/>
                <w:sz w:val="20"/>
                <w:szCs w:val="20"/>
              </w:rPr>
              <w:t xml:space="preserve">Newcastle upon Tyne East </w:t>
            </w:r>
          </w:p>
        </w:tc>
        <w:tc>
          <w:tcPr>
            <w:tcW w:w="1611" w:type="dxa"/>
            <w:vAlign w:val="bottom"/>
          </w:tcPr>
          <w:p w14:paraId="22F7570A"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27.1%</w:t>
            </w:r>
          </w:p>
        </w:tc>
        <w:tc>
          <w:tcPr>
            <w:tcW w:w="1612" w:type="dxa"/>
            <w:vAlign w:val="bottom"/>
          </w:tcPr>
          <w:p w14:paraId="05D2E21E"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36.8%</w:t>
            </w:r>
          </w:p>
        </w:tc>
        <w:tc>
          <w:tcPr>
            <w:tcW w:w="2254" w:type="dxa"/>
            <w:vAlign w:val="bottom"/>
          </w:tcPr>
          <w:p w14:paraId="06395751"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9.7%</w:t>
            </w:r>
          </w:p>
        </w:tc>
      </w:tr>
      <w:tr w:rsidR="00712D81" w:rsidRPr="00165B05" w14:paraId="352F142C" w14:textId="77777777" w:rsidTr="00712D81">
        <w:tc>
          <w:tcPr>
            <w:tcW w:w="3539" w:type="dxa"/>
            <w:vAlign w:val="bottom"/>
          </w:tcPr>
          <w:p w14:paraId="45FCC849" w14:textId="77777777" w:rsidR="00712D81" w:rsidRPr="00651CA4" w:rsidRDefault="00712D81" w:rsidP="00712D81">
            <w:pPr>
              <w:rPr>
                <w:rFonts w:ascii="Calibri" w:eastAsia="Times New Roman" w:hAnsi="Calibri" w:cs="Calibri"/>
                <w:sz w:val="24"/>
                <w:szCs w:val="24"/>
                <w:lang w:eastAsia="en-GB"/>
              </w:rPr>
            </w:pPr>
            <w:r>
              <w:rPr>
                <w:rFonts w:ascii="Arial" w:hAnsi="Arial" w:cs="Arial"/>
                <w:sz w:val="20"/>
                <w:szCs w:val="20"/>
              </w:rPr>
              <w:t xml:space="preserve">Bolton South East </w:t>
            </w:r>
          </w:p>
        </w:tc>
        <w:tc>
          <w:tcPr>
            <w:tcW w:w="1611" w:type="dxa"/>
            <w:vAlign w:val="bottom"/>
          </w:tcPr>
          <w:p w14:paraId="0D9C7715"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37.1%</w:t>
            </w:r>
          </w:p>
        </w:tc>
        <w:tc>
          <w:tcPr>
            <w:tcW w:w="1612" w:type="dxa"/>
            <w:vAlign w:val="bottom"/>
          </w:tcPr>
          <w:p w14:paraId="46911CF2"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46.7%</w:t>
            </w:r>
          </w:p>
        </w:tc>
        <w:tc>
          <w:tcPr>
            <w:tcW w:w="2254" w:type="dxa"/>
            <w:vAlign w:val="bottom"/>
          </w:tcPr>
          <w:p w14:paraId="48105238"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9.6%</w:t>
            </w:r>
          </w:p>
        </w:tc>
      </w:tr>
      <w:tr w:rsidR="00712D81" w:rsidRPr="00165B05" w14:paraId="62C4DD8C" w14:textId="77777777" w:rsidTr="00712D81">
        <w:tc>
          <w:tcPr>
            <w:tcW w:w="3539" w:type="dxa"/>
            <w:vAlign w:val="bottom"/>
          </w:tcPr>
          <w:p w14:paraId="6A25B00D" w14:textId="77777777" w:rsidR="00712D81" w:rsidRPr="00651CA4" w:rsidRDefault="00712D81" w:rsidP="00712D81">
            <w:pPr>
              <w:rPr>
                <w:rFonts w:ascii="Calibri" w:eastAsia="Times New Roman" w:hAnsi="Calibri" w:cs="Calibri"/>
                <w:sz w:val="24"/>
                <w:szCs w:val="24"/>
                <w:lang w:eastAsia="en-GB"/>
              </w:rPr>
            </w:pPr>
            <w:r>
              <w:rPr>
                <w:rFonts w:ascii="Arial" w:hAnsi="Arial" w:cs="Arial"/>
                <w:sz w:val="20"/>
                <w:szCs w:val="20"/>
              </w:rPr>
              <w:t>Sedgefield</w:t>
            </w:r>
          </w:p>
        </w:tc>
        <w:tc>
          <w:tcPr>
            <w:tcW w:w="1611" w:type="dxa"/>
            <w:vAlign w:val="bottom"/>
          </w:tcPr>
          <w:p w14:paraId="42DFDB48"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23.5%</w:t>
            </w:r>
          </w:p>
        </w:tc>
        <w:tc>
          <w:tcPr>
            <w:tcW w:w="1612" w:type="dxa"/>
            <w:vAlign w:val="bottom"/>
          </w:tcPr>
          <w:p w14:paraId="20EC3CF7"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33.0%</w:t>
            </w:r>
          </w:p>
        </w:tc>
        <w:tc>
          <w:tcPr>
            <w:tcW w:w="2254" w:type="dxa"/>
            <w:vAlign w:val="bottom"/>
          </w:tcPr>
          <w:p w14:paraId="21EB811C"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9.5%</w:t>
            </w:r>
          </w:p>
        </w:tc>
      </w:tr>
      <w:tr w:rsidR="00712D81" w:rsidRPr="00165B05" w14:paraId="46B1E419" w14:textId="77777777" w:rsidTr="00712D81">
        <w:tc>
          <w:tcPr>
            <w:tcW w:w="3539" w:type="dxa"/>
            <w:vAlign w:val="bottom"/>
          </w:tcPr>
          <w:p w14:paraId="35741D8D" w14:textId="77777777" w:rsidR="00712D81" w:rsidRPr="00651CA4" w:rsidRDefault="00712D81" w:rsidP="00712D81">
            <w:pPr>
              <w:rPr>
                <w:rFonts w:ascii="Calibri" w:eastAsia="Times New Roman" w:hAnsi="Calibri" w:cs="Calibri"/>
                <w:sz w:val="24"/>
                <w:szCs w:val="24"/>
                <w:lang w:eastAsia="en-GB"/>
              </w:rPr>
            </w:pPr>
            <w:r>
              <w:rPr>
                <w:rFonts w:ascii="Arial" w:hAnsi="Arial" w:cs="Arial"/>
                <w:sz w:val="20"/>
                <w:szCs w:val="20"/>
              </w:rPr>
              <w:t>Hartlepool</w:t>
            </w:r>
          </w:p>
        </w:tc>
        <w:tc>
          <w:tcPr>
            <w:tcW w:w="1611" w:type="dxa"/>
            <w:vAlign w:val="bottom"/>
          </w:tcPr>
          <w:p w14:paraId="429E6DF5"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27.6%</w:t>
            </w:r>
          </w:p>
        </w:tc>
        <w:tc>
          <w:tcPr>
            <w:tcW w:w="1612" w:type="dxa"/>
            <w:vAlign w:val="bottom"/>
          </w:tcPr>
          <w:p w14:paraId="52ED31A2"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37.1%</w:t>
            </w:r>
          </w:p>
        </w:tc>
        <w:tc>
          <w:tcPr>
            <w:tcW w:w="2254" w:type="dxa"/>
            <w:vAlign w:val="bottom"/>
          </w:tcPr>
          <w:p w14:paraId="709607B0"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9.5%</w:t>
            </w:r>
          </w:p>
        </w:tc>
      </w:tr>
      <w:tr w:rsidR="00712D81" w:rsidRPr="00165B05" w14:paraId="604D5BA5" w14:textId="77777777" w:rsidTr="00712D81">
        <w:tc>
          <w:tcPr>
            <w:tcW w:w="3539" w:type="dxa"/>
            <w:vAlign w:val="bottom"/>
          </w:tcPr>
          <w:p w14:paraId="318861FC" w14:textId="77777777" w:rsidR="00712D81" w:rsidRPr="00651CA4" w:rsidRDefault="00712D81" w:rsidP="00712D81">
            <w:pPr>
              <w:rPr>
                <w:rFonts w:ascii="Calibri" w:eastAsia="Times New Roman" w:hAnsi="Calibri" w:cs="Calibri"/>
                <w:sz w:val="24"/>
                <w:szCs w:val="24"/>
                <w:lang w:eastAsia="en-GB"/>
              </w:rPr>
            </w:pPr>
            <w:r>
              <w:rPr>
                <w:rFonts w:ascii="Arial" w:hAnsi="Arial" w:cs="Arial"/>
                <w:sz w:val="20"/>
                <w:szCs w:val="20"/>
              </w:rPr>
              <w:t xml:space="preserve">Oldham West and Royton  </w:t>
            </w:r>
          </w:p>
        </w:tc>
        <w:tc>
          <w:tcPr>
            <w:tcW w:w="1611" w:type="dxa"/>
            <w:vAlign w:val="bottom"/>
          </w:tcPr>
          <w:p w14:paraId="5823BE49"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38.5%</w:t>
            </w:r>
          </w:p>
        </w:tc>
        <w:tc>
          <w:tcPr>
            <w:tcW w:w="1612" w:type="dxa"/>
            <w:vAlign w:val="bottom"/>
          </w:tcPr>
          <w:p w14:paraId="6E47EA22"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48.0%</w:t>
            </w:r>
          </w:p>
        </w:tc>
        <w:tc>
          <w:tcPr>
            <w:tcW w:w="2254" w:type="dxa"/>
            <w:vAlign w:val="bottom"/>
          </w:tcPr>
          <w:p w14:paraId="57EDFE9B"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9.4%</w:t>
            </w:r>
          </w:p>
        </w:tc>
      </w:tr>
      <w:tr w:rsidR="00712D81" w:rsidRPr="00165B05" w14:paraId="66FD8C63" w14:textId="77777777" w:rsidTr="00712D81">
        <w:tc>
          <w:tcPr>
            <w:tcW w:w="3539" w:type="dxa"/>
            <w:vAlign w:val="bottom"/>
          </w:tcPr>
          <w:p w14:paraId="12C1B2E5" w14:textId="77777777" w:rsidR="00712D81" w:rsidRPr="00651CA4" w:rsidRDefault="00712D81" w:rsidP="00712D81">
            <w:pPr>
              <w:rPr>
                <w:rFonts w:ascii="Calibri" w:eastAsia="Times New Roman" w:hAnsi="Calibri" w:cs="Calibri"/>
                <w:sz w:val="24"/>
                <w:szCs w:val="24"/>
                <w:lang w:eastAsia="en-GB"/>
              </w:rPr>
            </w:pPr>
            <w:r>
              <w:rPr>
                <w:rFonts w:ascii="Arial" w:hAnsi="Arial" w:cs="Arial"/>
                <w:sz w:val="20"/>
                <w:szCs w:val="20"/>
              </w:rPr>
              <w:t xml:space="preserve">Gateshead </w:t>
            </w:r>
          </w:p>
        </w:tc>
        <w:tc>
          <w:tcPr>
            <w:tcW w:w="1611" w:type="dxa"/>
            <w:vAlign w:val="bottom"/>
          </w:tcPr>
          <w:p w14:paraId="2BF8A886"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26.0%</w:t>
            </w:r>
          </w:p>
        </w:tc>
        <w:tc>
          <w:tcPr>
            <w:tcW w:w="1612" w:type="dxa"/>
            <w:vAlign w:val="bottom"/>
          </w:tcPr>
          <w:p w14:paraId="7D65F265"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35.3%</w:t>
            </w:r>
          </w:p>
        </w:tc>
        <w:tc>
          <w:tcPr>
            <w:tcW w:w="2254" w:type="dxa"/>
            <w:vAlign w:val="bottom"/>
          </w:tcPr>
          <w:p w14:paraId="4B11051A"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9.3%</w:t>
            </w:r>
          </w:p>
        </w:tc>
      </w:tr>
      <w:tr w:rsidR="00712D81" w:rsidRPr="00165B05" w14:paraId="51E88D73" w14:textId="77777777" w:rsidTr="00712D81">
        <w:tc>
          <w:tcPr>
            <w:tcW w:w="3539" w:type="dxa"/>
            <w:vAlign w:val="bottom"/>
          </w:tcPr>
          <w:p w14:paraId="27FF98EB" w14:textId="77777777" w:rsidR="00712D81" w:rsidRPr="00651CA4" w:rsidRDefault="00712D81" w:rsidP="00712D81">
            <w:pPr>
              <w:rPr>
                <w:rFonts w:ascii="Calibri" w:eastAsia="Times New Roman" w:hAnsi="Calibri" w:cs="Calibri"/>
                <w:sz w:val="24"/>
                <w:szCs w:val="24"/>
                <w:lang w:eastAsia="en-GB"/>
              </w:rPr>
            </w:pPr>
            <w:r>
              <w:rPr>
                <w:rFonts w:ascii="Arial" w:hAnsi="Arial" w:cs="Arial"/>
                <w:sz w:val="20"/>
                <w:szCs w:val="20"/>
              </w:rPr>
              <w:t xml:space="preserve">Blackburn </w:t>
            </w:r>
          </w:p>
        </w:tc>
        <w:tc>
          <w:tcPr>
            <w:tcW w:w="1611" w:type="dxa"/>
            <w:vAlign w:val="bottom"/>
          </w:tcPr>
          <w:p w14:paraId="139A38E1"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38.1%</w:t>
            </w:r>
          </w:p>
        </w:tc>
        <w:tc>
          <w:tcPr>
            <w:tcW w:w="1612" w:type="dxa"/>
            <w:vAlign w:val="bottom"/>
          </w:tcPr>
          <w:p w14:paraId="1E84CA7C"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47.3%</w:t>
            </w:r>
          </w:p>
        </w:tc>
        <w:tc>
          <w:tcPr>
            <w:tcW w:w="2254" w:type="dxa"/>
            <w:vAlign w:val="bottom"/>
          </w:tcPr>
          <w:p w14:paraId="6758BA1B"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9.2%</w:t>
            </w:r>
          </w:p>
        </w:tc>
      </w:tr>
      <w:tr w:rsidR="00712D81" w:rsidRPr="00165B05" w14:paraId="2E82AF76" w14:textId="77777777" w:rsidTr="00712D81">
        <w:tc>
          <w:tcPr>
            <w:tcW w:w="3539" w:type="dxa"/>
            <w:vAlign w:val="bottom"/>
          </w:tcPr>
          <w:p w14:paraId="61876757" w14:textId="77777777" w:rsidR="00712D81" w:rsidRPr="00651CA4" w:rsidRDefault="00712D81" w:rsidP="00712D81">
            <w:pPr>
              <w:rPr>
                <w:rFonts w:ascii="Calibri" w:eastAsia="Times New Roman" w:hAnsi="Calibri" w:cs="Calibri"/>
                <w:sz w:val="24"/>
                <w:szCs w:val="24"/>
                <w:lang w:eastAsia="en-GB"/>
              </w:rPr>
            </w:pPr>
            <w:r>
              <w:rPr>
                <w:rFonts w:ascii="Arial" w:hAnsi="Arial" w:cs="Arial"/>
                <w:sz w:val="20"/>
                <w:szCs w:val="20"/>
              </w:rPr>
              <w:t xml:space="preserve">Jarrow </w:t>
            </w:r>
          </w:p>
        </w:tc>
        <w:tc>
          <w:tcPr>
            <w:tcW w:w="1611" w:type="dxa"/>
            <w:vAlign w:val="bottom"/>
          </w:tcPr>
          <w:p w14:paraId="22946A65"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23.5%</w:t>
            </w:r>
          </w:p>
        </w:tc>
        <w:tc>
          <w:tcPr>
            <w:tcW w:w="1612" w:type="dxa"/>
            <w:vAlign w:val="bottom"/>
          </w:tcPr>
          <w:p w14:paraId="32C26CD9"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32.6%</w:t>
            </w:r>
          </w:p>
        </w:tc>
        <w:tc>
          <w:tcPr>
            <w:tcW w:w="2254" w:type="dxa"/>
            <w:vAlign w:val="bottom"/>
          </w:tcPr>
          <w:p w14:paraId="67D69799"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9.1%</w:t>
            </w:r>
          </w:p>
        </w:tc>
      </w:tr>
      <w:tr w:rsidR="00712D81" w:rsidRPr="00165B05" w14:paraId="627D1CC8" w14:textId="77777777" w:rsidTr="00712D81">
        <w:tc>
          <w:tcPr>
            <w:tcW w:w="3539" w:type="dxa"/>
            <w:vAlign w:val="bottom"/>
          </w:tcPr>
          <w:p w14:paraId="66920467" w14:textId="77777777" w:rsidR="00712D81" w:rsidRPr="00651CA4" w:rsidRDefault="00712D81" w:rsidP="00712D81">
            <w:pPr>
              <w:rPr>
                <w:rFonts w:ascii="Calibri" w:eastAsia="Times New Roman" w:hAnsi="Calibri" w:cs="Calibri"/>
                <w:sz w:val="24"/>
                <w:szCs w:val="24"/>
                <w:lang w:eastAsia="en-GB"/>
              </w:rPr>
            </w:pPr>
            <w:r>
              <w:rPr>
                <w:rFonts w:ascii="Arial" w:hAnsi="Arial" w:cs="Arial"/>
                <w:sz w:val="20"/>
                <w:szCs w:val="20"/>
              </w:rPr>
              <w:t xml:space="preserve">Middlesbrough South and East Cleveland </w:t>
            </w:r>
          </w:p>
        </w:tc>
        <w:tc>
          <w:tcPr>
            <w:tcW w:w="1611" w:type="dxa"/>
            <w:vAlign w:val="bottom"/>
          </w:tcPr>
          <w:p w14:paraId="0ABFC8A6"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24.2%</w:t>
            </w:r>
          </w:p>
        </w:tc>
        <w:tc>
          <w:tcPr>
            <w:tcW w:w="1612" w:type="dxa"/>
            <w:vAlign w:val="bottom"/>
          </w:tcPr>
          <w:p w14:paraId="7A814AFD"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33.2%</w:t>
            </w:r>
          </w:p>
        </w:tc>
        <w:tc>
          <w:tcPr>
            <w:tcW w:w="2254" w:type="dxa"/>
            <w:vAlign w:val="bottom"/>
          </w:tcPr>
          <w:p w14:paraId="4D26BF13"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9.0%</w:t>
            </w:r>
          </w:p>
        </w:tc>
      </w:tr>
      <w:tr w:rsidR="00712D81" w:rsidRPr="00165B05" w14:paraId="701A78DE" w14:textId="77777777" w:rsidTr="00712D81">
        <w:tc>
          <w:tcPr>
            <w:tcW w:w="3539" w:type="dxa"/>
            <w:vAlign w:val="bottom"/>
          </w:tcPr>
          <w:p w14:paraId="74C61F89" w14:textId="77777777" w:rsidR="00712D81" w:rsidRPr="00651CA4" w:rsidRDefault="00712D81" w:rsidP="00712D81">
            <w:pPr>
              <w:rPr>
                <w:rFonts w:ascii="Calibri" w:eastAsia="Times New Roman" w:hAnsi="Calibri" w:cs="Calibri"/>
                <w:sz w:val="24"/>
                <w:szCs w:val="24"/>
                <w:lang w:eastAsia="en-GB"/>
              </w:rPr>
            </w:pPr>
            <w:r>
              <w:rPr>
                <w:rFonts w:ascii="Arial" w:hAnsi="Arial" w:cs="Arial"/>
                <w:sz w:val="20"/>
                <w:szCs w:val="20"/>
              </w:rPr>
              <w:t xml:space="preserve">Manchester Gorton  </w:t>
            </w:r>
          </w:p>
        </w:tc>
        <w:tc>
          <w:tcPr>
            <w:tcW w:w="1611" w:type="dxa"/>
            <w:vAlign w:val="bottom"/>
          </w:tcPr>
          <w:p w14:paraId="6FB4C6C6"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38.6%</w:t>
            </w:r>
          </w:p>
        </w:tc>
        <w:tc>
          <w:tcPr>
            <w:tcW w:w="1612" w:type="dxa"/>
            <w:vAlign w:val="bottom"/>
          </w:tcPr>
          <w:p w14:paraId="053A8B73"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47.6%</w:t>
            </w:r>
          </w:p>
        </w:tc>
        <w:tc>
          <w:tcPr>
            <w:tcW w:w="2254" w:type="dxa"/>
            <w:vAlign w:val="bottom"/>
          </w:tcPr>
          <w:p w14:paraId="32047573"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9.0%</w:t>
            </w:r>
          </w:p>
        </w:tc>
      </w:tr>
      <w:tr w:rsidR="00712D81" w:rsidRPr="00165B05" w14:paraId="66AFFB9F" w14:textId="77777777" w:rsidTr="00712D81">
        <w:tc>
          <w:tcPr>
            <w:tcW w:w="3539" w:type="dxa"/>
            <w:vAlign w:val="bottom"/>
          </w:tcPr>
          <w:p w14:paraId="429BD06A" w14:textId="77777777" w:rsidR="00712D81" w:rsidRPr="00651CA4" w:rsidRDefault="00712D81" w:rsidP="00712D81">
            <w:pPr>
              <w:rPr>
                <w:rFonts w:ascii="Calibri" w:eastAsia="Times New Roman" w:hAnsi="Calibri" w:cs="Calibri"/>
                <w:sz w:val="24"/>
                <w:szCs w:val="24"/>
                <w:lang w:eastAsia="en-GB"/>
              </w:rPr>
            </w:pPr>
            <w:r>
              <w:rPr>
                <w:rFonts w:ascii="Arial" w:hAnsi="Arial" w:cs="Arial"/>
                <w:sz w:val="20"/>
                <w:szCs w:val="20"/>
              </w:rPr>
              <w:t xml:space="preserve">North Durham </w:t>
            </w:r>
          </w:p>
        </w:tc>
        <w:tc>
          <w:tcPr>
            <w:tcW w:w="1611" w:type="dxa"/>
            <w:vAlign w:val="bottom"/>
          </w:tcPr>
          <w:p w14:paraId="6E973E68"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24.3%</w:t>
            </w:r>
          </w:p>
        </w:tc>
        <w:tc>
          <w:tcPr>
            <w:tcW w:w="1612" w:type="dxa"/>
            <w:vAlign w:val="bottom"/>
          </w:tcPr>
          <w:p w14:paraId="3B421C0F"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33.3%</w:t>
            </w:r>
          </w:p>
        </w:tc>
        <w:tc>
          <w:tcPr>
            <w:tcW w:w="2254" w:type="dxa"/>
            <w:vAlign w:val="bottom"/>
          </w:tcPr>
          <w:p w14:paraId="723B4416"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9.0%</w:t>
            </w:r>
          </w:p>
        </w:tc>
      </w:tr>
      <w:tr w:rsidR="00712D81" w:rsidRPr="00165B05" w14:paraId="4F5098BD" w14:textId="77777777" w:rsidTr="00712D81">
        <w:tc>
          <w:tcPr>
            <w:tcW w:w="3539" w:type="dxa"/>
            <w:vAlign w:val="bottom"/>
          </w:tcPr>
          <w:p w14:paraId="0854F7E1" w14:textId="77777777" w:rsidR="00712D81" w:rsidRPr="00651CA4" w:rsidRDefault="00712D81" w:rsidP="00712D81">
            <w:pPr>
              <w:rPr>
                <w:rFonts w:ascii="Calibri" w:eastAsia="Times New Roman" w:hAnsi="Calibri" w:cs="Calibri"/>
                <w:sz w:val="24"/>
                <w:szCs w:val="24"/>
                <w:lang w:eastAsia="en-GB"/>
              </w:rPr>
            </w:pPr>
            <w:r>
              <w:rPr>
                <w:rFonts w:ascii="Arial" w:hAnsi="Arial" w:cs="Arial"/>
                <w:sz w:val="20"/>
                <w:szCs w:val="20"/>
              </w:rPr>
              <w:t>Easington</w:t>
            </w:r>
          </w:p>
        </w:tc>
        <w:tc>
          <w:tcPr>
            <w:tcW w:w="1611" w:type="dxa"/>
            <w:vAlign w:val="bottom"/>
          </w:tcPr>
          <w:p w14:paraId="3EB6228B"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25.8%</w:t>
            </w:r>
          </w:p>
        </w:tc>
        <w:tc>
          <w:tcPr>
            <w:tcW w:w="1612" w:type="dxa"/>
            <w:vAlign w:val="bottom"/>
          </w:tcPr>
          <w:p w14:paraId="6C5803FD"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34.6%</w:t>
            </w:r>
          </w:p>
        </w:tc>
        <w:tc>
          <w:tcPr>
            <w:tcW w:w="2254" w:type="dxa"/>
            <w:vAlign w:val="bottom"/>
          </w:tcPr>
          <w:p w14:paraId="079DE46B"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8.8%</w:t>
            </w:r>
          </w:p>
        </w:tc>
      </w:tr>
    </w:tbl>
    <w:p w14:paraId="7C0819E7" w14:textId="30ED3B2F" w:rsidR="007B5D92" w:rsidRDefault="007B5D92" w:rsidP="007B5D92">
      <w:pPr>
        <w:spacing w:after="0" w:line="240" w:lineRule="auto"/>
        <w:rPr>
          <w:b/>
          <w:bCs/>
          <w:sz w:val="24"/>
          <w:szCs w:val="24"/>
        </w:rPr>
      </w:pPr>
      <w:r w:rsidRPr="007B5D92">
        <w:rPr>
          <w:b/>
          <w:bCs/>
          <w:sz w:val="24"/>
          <w:szCs w:val="24"/>
        </w:rPr>
        <w:lastRenderedPageBreak/>
        <w:t xml:space="preserve">Figure </w:t>
      </w:r>
      <w:r>
        <w:rPr>
          <w:b/>
          <w:bCs/>
          <w:sz w:val="24"/>
          <w:szCs w:val="24"/>
        </w:rPr>
        <w:t>2</w:t>
      </w:r>
      <w:r w:rsidR="00BB4C69">
        <w:rPr>
          <w:b/>
          <w:bCs/>
          <w:sz w:val="24"/>
          <w:szCs w:val="24"/>
        </w:rPr>
        <w:tab/>
      </w:r>
      <w:r w:rsidRPr="007B5D92">
        <w:rPr>
          <w:b/>
          <w:bCs/>
          <w:sz w:val="24"/>
          <w:szCs w:val="24"/>
        </w:rPr>
        <w:t xml:space="preserve"> Index of private rents for London and the rest of GB</w:t>
      </w:r>
    </w:p>
    <w:p w14:paraId="5DD6B451" w14:textId="1E528D29" w:rsidR="007B5D92" w:rsidRDefault="007B5D92" w:rsidP="00BB4C69">
      <w:pPr>
        <w:spacing w:after="0" w:line="240" w:lineRule="auto"/>
        <w:ind w:left="720" w:firstLine="720"/>
        <w:rPr>
          <w:b/>
          <w:bCs/>
          <w:sz w:val="24"/>
          <w:szCs w:val="24"/>
        </w:rPr>
      </w:pPr>
      <w:r w:rsidRPr="007B5D92">
        <w:rPr>
          <w:b/>
          <w:bCs/>
          <w:sz w:val="24"/>
          <w:szCs w:val="24"/>
        </w:rPr>
        <w:t>January 2015=100</w:t>
      </w:r>
    </w:p>
    <w:p w14:paraId="5FFE115E" w14:textId="77777777" w:rsidR="00BB4C69" w:rsidRPr="007B5D92" w:rsidRDefault="00BB4C69" w:rsidP="007B5D92">
      <w:pPr>
        <w:spacing w:after="0" w:line="240" w:lineRule="auto"/>
        <w:rPr>
          <w:b/>
          <w:bCs/>
          <w:sz w:val="24"/>
          <w:szCs w:val="24"/>
        </w:rPr>
      </w:pPr>
    </w:p>
    <w:p w14:paraId="45035429" w14:textId="711B5803" w:rsidR="00FA342B" w:rsidRDefault="007B5D92" w:rsidP="00C44973">
      <w:pPr>
        <w:spacing w:after="0" w:line="240" w:lineRule="auto"/>
        <w:rPr>
          <w:b/>
          <w:bCs/>
          <w:sz w:val="24"/>
          <w:szCs w:val="24"/>
        </w:rPr>
      </w:pPr>
      <w:r>
        <w:rPr>
          <w:noProof/>
        </w:rPr>
        <w:drawing>
          <wp:inline distT="0" distB="0" distL="0" distR="0" wp14:anchorId="410C5903" wp14:editId="76DCAECB">
            <wp:extent cx="6166884" cy="3136605"/>
            <wp:effectExtent l="0" t="0" r="5715" b="6985"/>
            <wp:docPr id="3" name="Chart 3">
              <a:extLst xmlns:a="http://schemas.openxmlformats.org/drawingml/2006/main">
                <a:ext uri="{FF2B5EF4-FFF2-40B4-BE49-F238E27FC236}">
                  <a16:creationId xmlns:a16="http://schemas.microsoft.com/office/drawing/2014/main" id="{1B0317C5-2F64-4D13-94B9-4DD53B1CA8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420FBA8" w14:textId="0062FEE1" w:rsidR="007B5D92" w:rsidRDefault="007B5D92" w:rsidP="00C44973">
      <w:pPr>
        <w:spacing w:after="0" w:line="240" w:lineRule="auto"/>
        <w:rPr>
          <w:b/>
          <w:bCs/>
          <w:sz w:val="24"/>
          <w:szCs w:val="24"/>
        </w:rPr>
      </w:pPr>
    </w:p>
    <w:p w14:paraId="70D89C9B" w14:textId="0C947E58" w:rsidR="007B5D92" w:rsidRDefault="007B5D92" w:rsidP="00BB4C69">
      <w:pPr>
        <w:spacing w:after="0" w:line="240" w:lineRule="auto"/>
        <w:ind w:left="1440" w:hanging="1440"/>
        <w:rPr>
          <w:b/>
          <w:bCs/>
          <w:sz w:val="24"/>
          <w:szCs w:val="24"/>
        </w:rPr>
      </w:pPr>
      <w:r>
        <w:rPr>
          <w:b/>
          <w:bCs/>
          <w:sz w:val="24"/>
          <w:szCs w:val="24"/>
        </w:rPr>
        <w:t xml:space="preserve">Figure </w:t>
      </w:r>
      <w:proofErr w:type="gramStart"/>
      <w:r>
        <w:rPr>
          <w:b/>
          <w:bCs/>
          <w:sz w:val="24"/>
          <w:szCs w:val="24"/>
        </w:rPr>
        <w:t xml:space="preserve">3  </w:t>
      </w:r>
      <w:r w:rsidR="00BB4C69">
        <w:rPr>
          <w:b/>
          <w:bCs/>
          <w:sz w:val="24"/>
          <w:szCs w:val="24"/>
        </w:rPr>
        <w:tab/>
      </w:r>
      <w:proofErr w:type="gramEnd"/>
      <w:r>
        <w:rPr>
          <w:b/>
          <w:bCs/>
          <w:sz w:val="24"/>
          <w:szCs w:val="24"/>
        </w:rPr>
        <w:t xml:space="preserve">Change in child poverty rate, AHC, 2014/15 to 2018/19, by country and region </w:t>
      </w:r>
    </w:p>
    <w:p w14:paraId="37BFB163" w14:textId="77777777" w:rsidR="00E75C8B" w:rsidRPr="007B5D92" w:rsidRDefault="00E75C8B" w:rsidP="00BB4C69">
      <w:pPr>
        <w:spacing w:after="0" w:line="240" w:lineRule="auto"/>
        <w:ind w:left="1440" w:hanging="1440"/>
        <w:rPr>
          <w:b/>
          <w:bCs/>
          <w:sz w:val="24"/>
          <w:szCs w:val="24"/>
        </w:rPr>
      </w:pPr>
    </w:p>
    <w:p w14:paraId="5995E18E" w14:textId="435BC7FD" w:rsidR="007B5D92" w:rsidRDefault="00662B0E" w:rsidP="00C44973">
      <w:pPr>
        <w:spacing w:after="0" w:line="240" w:lineRule="auto"/>
        <w:rPr>
          <w:sz w:val="24"/>
          <w:szCs w:val="24"/>
        </w:rPr>
      </w:pPr>
      <w:r>
        <w:rPr>
          <w:noProof/>
        </w:rPr>
        <w:drawing>
          <wp:inline distT="0" distB="0" distL="0" distR="0" wp14:anchorId="331402E9" wp14:editId="15AE91ED">
            <wp:extent cx="6230679" cy="4274289"/>
            <wp:effectExtent l="0" t="0" r="17780" b="12065"/>
            <wp:docPr id="8" name="Chart 8">
              <a:extLst xmlns:a="http://schemas.openxmlformats.org/drawingml/2006/main">
                <a:ext uri="{FF2B5EF4-FFF2-40B4-BE49-F238E27FC236}">
                  <a16:creationId xmlns:a16="http://schemas.microsoft.com/office/drawing/2014/main" id="{9A4101C0-122B-4069-9842-32FA50233C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4422C9F" w14:textId="59B6BAE8" w:rsidR="007B5D92" w:rsidRDefault="007B5D92" w:rsidP="00C44973">
      <w:pPr>
        <w:spacing w:after="0" w:line="240" w:lineRule="auto"/>
        <w:rPr>
          <w:sz w:val="24"/>
          <w:szCs w:val="24"/>
        </w:rPr>
      </w:pPr>
    </w:p>
    <w:p w14:paraId="522D4CBE" w14:textId="77777777" w:rsidR="007B5D92" w:rsidRPr="00165B05" w:rsidRDefault="007B5D92" w:rsidP="00C44973">
      <w:pPr>
        <w:spacing w:after="0" w:line="240" w:lineRule="auto"/>
        <w:rPr>
          <w:sz w:val="24"/>
          <w:szCs w:val="24"/>
        </w:rPr>
      </w:pPr>
    </w:p>
    <w:p w14:paraId="786849A4" w14:textId="5A5F8A25" w:rsidR="00E45391" w:rsidRPr="00E04ED3" w:rsidRDefault="00E04ED3" w:rsidP="00BB4C69">
      <w:pPr>
        <w:pStyle w:val="Heading1"/>
      </w:pPr>
      <w:r w:rsidRPr="00E04ED3">
        <w:t xml:space="preserve">     </w:t>
      </w:r>
      <w:bookmarkStart w:id="8" w:name="_Toc52547007"/>
      <w:bookmarkStart w:id="9" w:name="_Toc52547180"/>
      <w:r w:rsidRPr="00E04ED3">
        <w:t>The effect of housing costs</w:t>
      </w:r>
      <w:bookmarkEnd w:id="8"/>
      <w:bookmarkEnd w:id="9"/>
    </w:p>
    <w:p w14:paraId="3BD32F95" w14:textId="77777777" w:rsidR="00E04ED3" w:rsidRDefault="00E04ED3" w:rsidP="00165B05">
      <w:pPr>
        <w:spacing w:after="0" w:line="240" w:lineRule="auto"/>
        <w:rPr>
          <w:b/>
          <w:bCs/>
          <w:sz w:val="24"/>
          <w:szCs w:val="24"/>
        </w:rPr>
      </w:pPr>
    </w:p>
    <w:p w14:paraId="1549F92C" w14:textId="647625A3" w:rsidR="00662B0E" w:rsidRDefault="00662B0E">
      <w:pPr>
        <w:rPr>
          <w:sz w:val="24"/>
          <w:szCs w:val="24"/>
        </w:rPr>
      </w:pPr>
      <w:r>
        <w:rPr>
          <w:sz w:val="24"/>
          <w:szCs w:val="24"/>
        </w:rPr>
        <w:t xml:space="preserve">This report has used the </w:t>
      </w:r>
      <w:proofErr w:type="gramStart"/>
      <w:r>
        <w:rPr>
          <w:sz w:val="24"/>
          <w:szCs w:val="24"/>
        </w:rPr>
        <w:t>after housing</w:t>
      </w:r>
      <w:proofErr w:type="gramEnd"/>
      <w:r>
        <w:rPr>
          <w:sz w:val="24"/>
          <w:szCs w:val="24"/>
        </w:rPr>
        <w:t xml:space="preserve"> cost indictor of child poverty as the best indicator of how families experience low disposable income. But how much difference has this made in the overall estimates of child poverty, compared to the DWP/HMRC’s before housing cost indicator? This of course </w:t>
      </w:r>
      <w:r w:rsidR="009352BC">
        <w:rPr>
          <w:sz w:val="24"/>
          <w:szCs w:val="24"/>
        </w:rPr>
        <w:t>varies</w:t>
      </w:r>
      <w:r>
        <w:rPr>
          <w:sz w:val="24"/>
          <w:szCs w:val="24"/>
        </w:rPr>
        <w:t xml:space="preserve"> according to area and </w:t>
      </w:r>
      <w:r w:rsidR="009352BC">
        <w:rPr>
          <w:sz w:val="24"/>
          <w:szCs w:val="24"/>
        </w:rPr>
        <w:t xml:space="preserve">the cost of </w:t>
      </w:r>
      <w:r>
        <w:rPr>
          <w:sz w:val="24"/>
          <w:szCs w:val="24"/>
        </w:rPr>
        <w:t xml:space="preserve">housing. Tables 5 and 6 show in which local authorities and constituencies it makes the most difference. Unsurprisingly, the greatest differences are in London, where housing costs are greatest. </w:t>
      </w:r>
    </w:p>
    <w:p w14:paraId="0BD19588" w14:textId="74587E0B" w:rsidR="00620798" w:rsidRDefault="00620798" w:rsidP="00620798">
      <w:pPr>
        <w:spacing w:after="0" w:line="240" w:lineRule="auto"/>
        <w:ind w:left="1440" w:hanging="1440"/>
        <w:rPr>
          <w:b/>
          <w:bCs/>
          <w:sz w:val="24"/>
          <w:szCs w:val="24"/>
        </w:rPr>
      </w:pPr>
      <w:r w:rsidRPr="00165B05">
        <w:rPr>
          <w:b/>
          <w:bCs/>
          <w:sz w:val="24"/>
          <w:szCs w:val="24"/>
        </w:rPr>
        <w:t xml:space="preserve">Table </w:t>
      </w:r>
      <w:r>
        <w:rPr>
          <w:b/>
          <w:bCs/>
          <w:sz w:val="24"/>
          <w:szCs w:val="24"/>
        </w:rPr>
        <w:t>5</w:t>
      </w:r>
      <w:r w:rsidRPr="00165B05">
        <w:rPr>
          <w:b/>
          <w:bCs/>
          <w:sz w:val="24"/>
          <w:szCs w:val="24"/>
        </w:rPr>
        <w:tab/>
        <w:t xml:space="preserve">The 20 </w:t>
      </w:r>
      <w:r>
        <w:rPr>
          <w:b/>
          <w:bCs/>
          <w:sz w:val="24"/>
          <w:szCs w:val="24"/>
        </w:rPr>
        <w:t>local authorities with</w:t>
      </w:r>
      <w:r w:rsidRPr="00165B05">
        <w:rPr>
          <w:b/>
          <w:bCs/>
          <w:sz w:val="24"/>
          <w:szCs w:val="24"/>
        </w:rPr>
        <w:t xml:space="preserve"> </w:t>
      </w:r>
      <w:r>
        <w:rPr>
          <w:b/>
          <w:bCs/>
          <w:sz w:val="24"/>
          <w:szCs w:val="24"/>
        </w:rPr>
        <w:t xml:space="preserve">the highest AHC compared to BHC poverty rates, </w:t>
      </w:r>
      <w:r w:rsidRPr="00165B05">
        <w:rPr>
          <w:b/>
          <w:bCs/>
          <w:sz w:val="24"/>
          <w:szCs w:val="24"/>
        </w:rPr>
        <w:t>2018/19</w:t>
      </w:r>
    </w:p>
    <w:p w14:paraId="01E8629D" w14:textId="77777777" w:rsidR="009C5995" w:rsidRDefault="009C5995" w:rsidP="00620798">
      <w:pPr>
        <w:spacing w:after="0" w:line="240" w:lineRule="auto"/>
        <w:ind w:left="1440" w:hanging="1440"/>
        <w:rPr>
          <w:b/>
          <w:bCs/>
          <w:sz w:val="24"/>
          <w:szCs w:val="24"/>
        </w:rPr>
      </w:pPr>
    </w:p>
    <w:tbl>
      <w:tblPr>
        <w:tblStyle w:val="TableGrid"/>
        <w:tblW w:w="0" w:type="auto"/>
        <w:tblLook w:val="04A0" w:firstRow="1" w:lastRow="0" w:firstColumn="1" w:lastColumn="0" w:noHBand="0" w:noVBand="1"/>
      </w:tblPr>
      <w:tblGrid>
        <w:gridCol w:w="3539"/>
        <w:gridCol w:w="1611"/>
        <w:gridCol w:w="1612"/>
        <w:gridCol w:w="2254"/>
      </w:tblGrid>
      <w:tr w:rsidR="009C5995" w:rsidRPr="00165B05" w14:paraId="3B018EF5" w14:textId="77777777" w:rsidTr="00FD1025">
        <w:tc>
          <w:tcPr>
            <w:tcW w:w="3539" w:type="dxa"/>
            <w:vMerge w:val="restart"/>
            <w:shd w:val="clear" w:color="auto" w:fill="B4C6E7" w:themeFill="accent1" w:themeFillTint="66"/>
          </w:tcPr>
          <w:p w14:paraId="02622B2C" w14:textId="53A97944" w:rsidR="009C5995" w:rsidRPr="009C5995" w:rsidRDefault="009C5995" w:rsidP="00FD1025">
            <w:pPr>
              <w:rPr>
                <w:rFonts w:ascii="Calibri" w:eastAsia="Times New Roman" w:hAnsi="Calibri" w:cs="Calibri"/>
                <w:b/>
                <w:bCs/>
                <w:sz w:val="24"/>
                <w:szCs w:val="24"/>
                <w:lang w:eastAsia="en-GB"/>
              </w:rPr>
            </w:pPr>
            <w:r w:rsidRPr="009C5995">
              <w:rPr>
                <w:rFonts w:ascii="Calibri" w:eastAsia="Times New Roman" w:hAnsi="Calibri" w:cs="Calibri"/>
                <w:b/>
                <w:bCs/>
                <w:sz w:val="24"/>
                <w:szCs w:val="24"/>
                <w:lang w:eastAsia="en-GB"/>
              </w:rPr>
              <w:t>Constituency</w:t>
            </w:r>
          </w:p>
        </w:tc>
        <w:tc>
          <w:tcPr>
            <w:tcW w:w="5477" w:type="dxa"/>
            <w:gridSpan w:val="3"/>
            <w:shd w:val="clear" w:color="auto" w:fill="B4C6E7" w:themeFill="accent1" w:themeFillTint="66"/>
          </w:tcPr>
          <w:p w14:paraId="0B1EE345" w14:textId="77777777" w:rsidR="009C5995" w:rsidRPr="00651CA4" w:rsidRDefault="009C5995" w:rsidP="00FD1025">
            <w:pPr>
              <w:jc w:val="center"/>
              <w:rPr>
                <w:rFonts w:ascii="Calibri" w:eastAsia="Times New Roman" w:hAnsi="Calibri" w:cs="Calibri"/>
                <w:b/>
                <w:bCs/>
                <w:sz w:val="24"/>
                <w:szCs w:val="24"/>
                <w:lang w:eastAsia="en-GB"/>
              </w:rPr>
            </w:pPr>
            <w:r w:rsidRPr="00687421">
              <w:rPr>
                <w:rFonts w:ascii="Calibri" w:eastAsia="Times New Roman" w:hAnsi="Calibri" w:cs="Calibri"/>
                <w:b/>
                <w:bCs/>
                <w:sz w:val="24"/>
                <w:szCs w:val="24"/>
                <w:lang w:eastAsia="en-GB"/>
              </w:rPr>
              <w:t>% of children below 60% median income AHC</w:t>
            </w:r>
          </w:p>
        </w:tc>
      </w:tr>
      <w:tr w:rsidR="009C5995" w:rsidRPr="00165B05" w14:paraId="30AF4C4D" w14:textId="77777777" w:rsidTr="00FD1025">
        <w:tc>
          <w:tcPr>
            <w:tcW w:w="3539" w:type="dxa"/>
            <w:vMerge/>
            <w:shd w:val="clear" w:color="auto" w:fill="B4C6E7" w:themeFill="accent1" w:themeFillTint="66"/>
          </w:tcPr>
          <w:p w14:paraId="45D62303" w14:textId="7F1B416A" w:rsidR="009C5995" w:rsidRPr="008A64EE" w:rsidRDefault="009C5995" w:rsidP="00FD1025">
            <w:pPr>
              <w:rPr>
                <w:rFonts w:ascii="Calibri" w:eastAsia="Times New Roman" w:hAnsi="Calibri" w:cs="Calibri"/>
                <w:sz w:val="24"/>
                <w:szCs w:val="24"/>
                <w:lang w:eastAsia="en-GB"/>
              </w:rPr>
            </w:pPr>
          </w:p>
        </w:tc>
        <w:tc>
          <w:tcPr>
            <w:tcW w:w="1611" w:type="dxa"/>
            <w:shd w:val="clear" w:color="auto" w:fill="B4C6E7" w:themeFill="accent1" w:themeFillTint="66"/>
          </w:tcPr>
          <w:p w14:paraId="430A08B9" w14:textId="77777777" w:rsidR="009C5995" w:rsidRPr="00651CA4" w:rsidRDefault="009C5995" w:rsidP="00FD1025">
            <w:pPr>
              <w:jc w:val="center"/>
              <w:rPr>
                <w:rFonts w:ascii="Calibri" w:eastAsia="Times New Roman" w:hAnsi="Calibri" w:cs="Calibri"/>
                <w:b/>
                <w:bCs/>
                <w:sz w:val="24"/>
                <w:szCs w:val="24"/>
                <w:lang w:eastAsia="en-GB"/>
              </w:rPr>
            </w:pPr>
            <w:r>
              <w:rPr>
                <w:rFonts w:ascii="Calibri" w:eastAsia="Times New Roman" w:hAnsi="Calibri" w:cs="Calibri"/>
                <w:sz w:val="24"/>
                <w:szCs w:val="24"/>
                <w:lang w:eastAsia="en-GB"/>
              </w:rPr>
              <w:t>AHC</w:t>
            </w:r>
          </w:p>
        </w:tc>
        <w:tc>
          <w:tcPr>
            <w:tcW w:w="1612" w:type="dxa"/>
            <w:shd w:val="clear" w:color="auto" w:fill="B4C6E7" w:themeFill="accent1" w:themeFillTint="66"/>
          </w:tcPr>
          <w:p w14:paraId="72FD8ADA" w14:textId="77777777" w:rsidR="009C5995" w:rsidRPr="00651CA4" w:rsidRDefault="009C5995" w:rsidP="00FD1025">
            <w:pPr>
              <w:jc w:val="center"/>
              <w:rPr>
                <w:rFonts w:ascii="Calibri" w:eastAsia="Times New Roman" w:hAnsi="Calibri" w:cs="Calibri"/>
                <w:b/>
                <w:bCs/>
                <w:sz w:val="24"/>
                <w:szCs w:val="24"/>
                <w:lang w:eastAsia="en-GB"/>
              </w:rPr>
            </w:pPr>
            <w:r>
              <w:rPr>
                <w:rFonts w:ascii="Calibri" w:eastAsia="Times New Roman" w:hAnsi="Calibri" w:cs="Calibri"/>
                <w:sz w:val="24"/>
                <w:szCs w:val="24"/>
                <w:lang w:eastAsia="en-GB"/>
              </w:rPr>
              <w:t>BHC</w:t>
            </w:r>
          </w:p>
        </w:tc>
        <w:tc>
          <w:tcPr>
            <w:tcW w:w="2254" w:type="dxa"/>
            <w:shd w:val="clear" w:color="auto" w:fill="B4C6E7" w:themeFill="accent1" w:themeFillTint="66"/>
          </w:tcPr>
          <w:p w14:paraId="03C4D1BF" w14:textId="77777777" w:rsidR="009C5995" w:rsidRPr="008A64EE" w:rsidRDefault="009C5995" w:rsidP="00FD1025">
            <w:pPr>
              <w:rPr>
                <w:rFonts w:ascii="Calibri" w:eastAsia="Times New Roman" w:hAnsi="Calibri" w:cs="Calibri"/>
                <w:sz w:val="24"/>
                <w:szCs w:val="24"/>
                <w:lang w:eastAsia="en-GB"/>
              </w:rPr>
            </w:pPr>
            <w:r w:rsidRPr="008A64EE">
              <w:rPr>
                <w:rFonts w:ascii="Calibri" w:eastAsia="Times New Roman" w:hAnsi="Calibri" w:cs="Calibri"/>
                <w:sz w:val="24"/>
                <w:szCs w:val="24"/>
                <w:lang w:eastAsia="en-GB"/>
              </w:rPr>
              <w:t xml:space="preserve">%age point </w:t>
            </w:r>
            <w:r>
              <w:rPr>
                <w:rFonts w:ascii="Calibri" w:eastAsia="Times New Roman" w:hAnsi="Calibri" w:cs="Calibri"/>
                <w:sz w:val="24"/>
                <w:szCs w:val="24"/>
                <w:lang w:eastAsia="en-GB"/>
              </w:rPr>
              <w:t>difference</w:t>
            </w:r>
          </w:p>
        </w:tc>
      </w:tr>
      <w:tr w:rsidR="00620798" w:rsidRPr="00165B05" w14:paraId="1A05C313" w14:textId="77777777" w:rsidTr="00FD1025">
        <w:tc>
          <w:tcPr>
            <w:tcW w:w="3539" w:type="dxa"/>
          </w:tcPr>
          <w:p w14:paraId="500EFD7D" w14:textId="77777777" w:rsidR="00620798" w:rsidRPr="00687421" w:rsidRDefault="00620798" w:rsidP="00FD1025">
            <w:pPr>
              <w:rPr>
                <w:rFonts w:ascii="Calibri" w:hAnsi="Calibri" w:cs="Calibri"/>
                <w:b/>
                <w:bCs/>
                <w:sz w:val="24"/>
                <w:szCs w:val="24"/>
              </w:rPr>
            </w:pPr>
            <w:r>
              <w:rPr>
                <w:rFonts w:ascii="Calibri" w:hAnsi="Calibri" w:cs="Calibri"/>
                <w:b/>
                <w:bCs/>
                <w:sz w:val="24"/>
                <w:szCs w:val="24"/>
              </w:rPr>
              <w:t>UK</w:t>
            </w:r>
          </w:p>
        </w:tc>
        <w:tc>
          <w:tcPr>
            <w:tcW w:w="1611" w:type="dxa"/>
          </w:tcPr>
          <w:p w14:paraId="6A1F843E" w14:textId="77777777" w:rsidR="00620798" w:rsidRPr="00687421" w:rsidRDefault="00620798" w:rsidP="009C5995">
            <w:pPr>
              <w:tabs>
                <w:tab w:val="decimal" w:pos="552"/>
              </w:tabs>
              <w:jc w:val="center"/>
              <w:rPr>
                <w:rFonts w:ascii="Calibri" w:hAnsi="Calibri" w:cs="Calibri"/>
                <w:b/>
                <w:bCs/>
                <w:sz w:val="24"/>
                <w:szCs w:val="24"/>
              </w:rPr>
            </w:pPr>
            <w:r>
              <w:rPr>
                <w:rFonts w:ascii="Calibri" w:hAnsi="Calibri" w:cs="Calibri"/>
                <w:b/>
                <w:bCs/>
                <w:sz w:val="24"/>
                <w:szCs w:val="24"/>
              </w:rPr>
              <w:t>30</w:t>
            </w:r>
            <w:r w:rsidRPr="00687421">
              <w:rPr>
                <w:rFonts w:ascii="Calibri" w:hAnsi="Calibri" w:cs="Calibri"/>
                <w:b/>
                <w:bCs/>
                <w:sz w:val="24"/>
                <w:szCs w:val="24"/>
              </w:rPr>
              <w:t>%</w:t>
            </w:r>
          </w:p>
        </w:tc>
        <w:tc>
          <w:tcPr>
            <w:tcW w:w="1612" w:type="dxa"/>
          </w:tcPr>
          <w:p w14:paraId="56212493" w14:textId="77777777" w:rsidR="00620798" w:rsidRPr="00687421" w:rsidRDefault="00620798" w:rsidP="009C5995">
            <w:pPr>
              <w:tabs>
                <w:tab w:val="decimal" w:pos="702"/>
              </w:tabs>
              <w:rPr>
                <w:rFonts w:ascii="Calibri" w:hAnsi="Calibri" w:cs="Calibri"/>
                <w:b/>
                <w:bCs/>
                <w:sz w:val="24"/>
                <w:szCs w:val="24"/>
              </w:rPr>
            </w:pPr>
            <w:r>
              <w:rPr>
                <w:rFonts w:ascii="Calibri" w:hAnsi="Calibri" w:cs="Calibri"/>
                <w:b/>
                <w:bCs/>
                <w:sz w:val="24"/>
                <w:szCs w:val="24"/>
              </w:rPr>
              <w:t>2</w:t>
            </w:r>
            <w:r w:rsidRPr="00687421">
              <w:rPr>
                <w:rFonts w:ascii="Calibri" w:hAnsi="Calibri" w:cs="Calibri"/>
                <w:b/>
                <w:bCs/>
                <w:sz w:val="24"/>
                <w:szCs w:val="24"/>
              </w:rPr>
              <w:t>0%</w:t>
            </w:r>
          </w:p>
        </w:tc>
        <w:tc>
          <w:tcPr>
            <w:tcW w:w="2254" w:type="dxa"/>
          </w:tcPr>
          <w:p w14:paraId="50850460" w14:textId="77777777" w:rsidR="00620798" w:rsidRPr="00687421" w:rsidRDefault="00620798" w:rsidP="009C5995">
            <w:pPr>
              <w:tabs>
                <w:tab w:val="decimal" w:pos="935"/>
              </w:tabs>
              <w:rPr>
                <w:rFonts w:ascii="Calibri" w:hAnsi="Calibri" w:cs="Calibri"/>
                <w:b/>
                <w:bCs/>
                <w:sz w:val="24"/>
                <w:szCs w:val="24"/>
              </w:rPr>
            </w:pPr>
            <w:r>
              <w:rPr>
                <w:rFonts w:ascii="Calibri" w:eastAsia="Times New Roman" w:hAnsi="Calibri" w:cs="Calibri"/>
                <w:b/>
                <w:bCs/>
                <w:sz w:val="24"/>
                <w:szCs w:val="24"/>
                <w:lang w:eastAsia="en-GB"/>
              </w:rPr>
              <w:t>10</w:t>
            </w:r>
            <w:r w:rsidRPr="00687421">
              <w:rPr>
                <w:rFonts w:ascii="Calibri" w:eastAsia="Times New Roman" w:hAnsi="Calibri" w:cs="Calibri"/>
                <w:b/>
                <w:bCs/>
                <w:sz w:val="24"/>
                <w:szCs w:val="24"/>
                <w:lang w:eastAsia="en-GB"/>
              </w:rPr>
              <w:t>%</w:t>
            </w:r>
          </w:p>
        </w:tc>
      </w:tr>
      <w:tr w:rsidR="00620798" w:rsidRPr="00630C85" w14:paraId="7FA9DA5E" w14:textId="77777777" w:rsidTr="00FD1025">
        <w:trPr>
          <w:trHeight w:val="264"/>
        </w:trPr>
        <w:tc>
          <w:tcPr>
            <w:tcW w:w="3539" w:type="dxa"/>
            <w:noWrap/>
            <w:hideMark/>
          </w:tcPr>
          <w:p w14:paraId="6A196E77" w14:textId="77777777" w:rsidR="00620798" w:rsidRPr="00630C85" w:rsidRDefault="00620798" w:rsidP="00FD1025">
            <w:pPr>
              <w:rPr>
                <w:rFonts w:ascii="Arial" w:eastAsia="Times New Roman" w:hAnsi="Arial" w:cs="Arial"/>
                <w:sz w:val="20"/>
                <w:szCs w:val="20"/>
                <w:lang w:eastAsia="en-GB"/>
              </w:rPr>
            </w:pPr>
            <w:r w:rsidRPr="00630C85">
              <w:rPr>
                <w:rFonts w:ascii="Arial" w:eastAsia="Times New Roman" w:hAnsi="Arial" w:cs="Arial"/>
                <w:sz w:val="20"/>
                <w:szCs w:val="20"/>
                <w:lang w:eastAsia="en-GB"/>
              </w:rPr>
              <w:t>Tower Hamlets</w:t>
            </w:r>
          </w:p>
        </w:tc>
        <w:tc>
          <w:tcPr>
            <w:tcW w:w="1611" w:type="dxa"/>
            <w:noWrap/>
            <w:hideMark/>
          </w:tcPr>
          <w:p w14:paraId="6CAFBEC4"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55.4%</w:t>
            </w:r>
          </w:p>
        </w:tc>
        <w:tc>
          <w:tcPr>
            <w:tcW w:w="1612" w:type="dxa"/>
            <w:noWrap/>
            <w:hideMark/>
          </w:tcPr>
          <w:p w14:paraId="2D3668DB"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27.3%</w:t>
            </w:r>
          </w:p>
        </w:tc>
        <w:tc>
          <w:tcPr>
            <w:tcW w:w="2254" w:type="dxa"/>
            <w:noWrap/>
            <w:hideMark/>
          </w:tcPr>
          <w:p w14:paraId="1B615295"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28.1%</w:t>
            </w:r>
          </w:p>
        </w:tc>
      </w:tr>
      <w:tr w:rsidR="00620798" w:rsidRPr="00630C85" w14:paraId="2FE3B9C2" w14:textId="77777777" w:rsidTr="00FD1025">
        <w:trPr>
          <w:trHeight w:val="264"/>
        </w:trPr>
        <w:tc>
          <w:tcPr>
            <w:tcW w:w="3539" w:type="dxa"/>
            <w:noWrap/>
            <w:hideMark/>
          </w:tcPr>
          <w:p w14:paraId="322B49DA" w14:textId="77777777" w:rsidR="00620798" w:rsidRPr="00630C85" w:rsidRDefault="00620798" w:rsidP="00FD1025">
            <w:pPr>
              <w:rPr>
                <w:rFonts w:ascii="Arial" w:eastAsia="Times New Roman" w:hAnsi="Arial" w:cs="Arial"/>
                <w:sz w:val="20"/>
                <w:szCs w:val="20"/>
                <w:lang w:eastAsia="en-GB"/>
              </w:rPr>
            </w:pPr>
            <w:r w:rsidRPr="00630C85">
              <w:rPr>
                <w:rFonts w:ascii="Arial" w:eastAsia="Times New Roman" w:hAnsi="Arial" w:cs="Arial"/>
                <w:sz w:val="20"/>
                <w:szCs w:val="20"/>
                <w:lang w:eastAsia="en-GB"/>
              </w:rPr>
              <w:t>Hackney</w:t>
            </w:r>
          </w:p>
        </w:tc>
        <w:tc>
          <w:tcPr>
            <w:tcW w:w="1611" w:type="dxa"/>
            <w:noWrap/>
            <w:hideMark/>
          </w:tcPr>
          <w:p w14:paraId="41BCF3DB"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48.0%</w:t>
            </w:r>
          </w:p>
        </w:tc>
        <w:tc>
          <w:tcPr>
            <w:tcW w:w="1612" w:type="dxa"/>
            <w:noWrap/>
            <w:hideMark/>
          </w:tcPr>
          <w:p w14:paraId="08E3F33A"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21.5%</w:t>
            </w:r>
          </w:p>
        </w:tc>
        <w:tc>
          <w:tcPr>
            <w:tcW w:w="2254" w:type="dxa"/>
            <w:noWrap/>
            <w:hideMark/>
          </w:tcPr>
          <w:p w14:paraId="2BF6A34E"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26.5%</w:t>
            </w:r>
          </w:p>
        </w:tc>
      </w:tr>
      <w:tr w:rsidR="00620798" w:rsidRPr="00630C85" w14:paraId="2F1FD7CD" w14:textId="77777777" w:rsidTr="00FD1025">
        <w:trPr>
          <w:trHeight w:val="264"/>
        </w:trPr>
        <w:tc>
          <w:tcPr>
            <w:tcW w:w="3539" w:type="dxa"/>
            <w:noWrap/>
            <w:hideMark/>
          </w:tcPr>
          <w:p w14:paraId="4E5A19D2" w14:textId="77777777" w:rsidR="00620798" w:rsidRPr="00630C85" w:rsidRDefault="00620798" w:rsidP="00FD1025">
            <w:pPr>
              <w:rPr>
                <w:rFonts w:ascii="Arial" w:eastAsia="Times New Roman" w:hAnsi="Arial" w:cs="Arial"/>
                <w:sz w:val="20"/>
                <w:szCs w:val="20"/>
                <w:lang w:eastAsia="en-GB"/>
              </w:rPr>
            </w:pPr>
            <w:r w:rsidRPr="00630C85">
              <w:rPr>
                <w:rFonts w:ascii="Arial" w:eastAsia="Times New Roman" w:hAnsi="Arial" w:cs="Arial"/>
                <w:sz w:val="20"/>
                <w:szCs w:val="20"/>
                <w:lang w:eastAsia="en-GB"/>
              </w:rPr>
              <w:t>Islington</w:t>
            </w:r>
          </w:p>
        </w:tc>
        <w:tc>
          <w:tcPr>
            <w:tcW w:w="1611" w:type="dxa"/>
            <w:noWrap/>
            <w:hideMark/>
          </w:tcPr>
          <w:p w14:paraId="719D7F07"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43.4%</w:t>
            </w:r>
          </w:p>
        </w:tc>
        <w:tc>
          <w:tcPr>
            <w:tcW w:w="1612" w:type="dxa"/>
            <w:noWrap/>
            <w:hideMark/>
          </w:tcPr>
          <w:p w14:paraId="421F2568"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18.4%</w:t>
            </w:r>
          </w:p>
        </w:tc>
        <w:tc>
          <w:tcPr>
            <w:tcW w:w="2254" w:type="dxa"/>
            <w:noWrap/>
            <w:hideMark/>
          </w:tcPr>
          <w:p w14:paraId="3FEAD5FB"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25.0%</w:t>
            </w:r>
          </w:p>
        </w:tc>
      </w:tr>
      <w:tr w:rsidR="00620798" w:rsidRPr="00630C85" w14:paraId="3DE965C6" w14:textId="77777777" w:rsidTr="00FD1025">
        <w:trPr>
          <w:trHeight w:val="264"/>
        </w:trPr>
        <w:tc>
          <w:tcPr>
            <w:tcW w:w="3539" w:type="dxa"/>
            <w:noWrap/>
            <w:hideMark/>
          </w:tcPr>
          <w:p w14:paraId="73A6903D" w14:textId="77777777" w:rsidR="00620798" w:rsidRPr="00630C85" w:rsidRDefault="00620798" w:rsidP="00FD1025">
            <w:pPr>
              <w:rPr>
                <w:rFonts w:ascii="Arial" w:eastAsia="Times New Roman" w:hAnsi="Arial" w:cs="Arial"/>
                <w:sz w:val="20"/>
                <w:szCs w:val="20"/>
                <w:lang w:eastAsia="en-GB"/>
              </w:rPr>
            </w:pPr>
            <w:r w:rsidRPr="00630C85">
              <w:rPr>
                <w:rFonts w:ascii="Arial" w:eastAsia="Times New Roman" w:hAnsi="Arial" w:cs="Arial"/>
                <w:sz w:val="20"/>
                <w:szCs w:val="20"/>
                <w:lang w:eastAsia="en-GB"/>
              </w:rPr>
              <w:t>Newham</w:t>
            </w:r>
          </w:p>
        </w:tc>
        <w:tc>
          <w:tcPr>
            <w:tcW w:w="1611" w:type="dxa"/>
            <w:noWrap/>
            <w:hideMark/>
          </w:tcPr>
          <w:p w14:paraId="57F859E9"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50.3%</w:t>
            </w:r>
          </w:p>
        </w:tc>
        <w:tc>
          <w:tcPr>
            <w:tcW w:w="1612" w:type="dxa"/>
            <w:noWrap/>
            <w:hideMark/>
          </w:tcPr>
          <w:p w14:paraId="6D9E3342"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25.7%</w:t>
            </w:r>
          </w:p>
        </w:tc>
        <w:tc>
          <w:tcPr>
            <w:tcW w:w="2254" w:type="dxa"/>
            <w:noWrap/>
            <w:hideMark/>
          </w:tcPr>
          <w:p w14:paraId="69214F3A"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24.6%</w:t>
            </w:r>
          </w:p>
        </w:tc>
      </w:tr>
      <w:tr w:rsidR="00620798" w:rsidRPr="00630C85" w14:paraId="29A26BF1" w14:textId="77777777" w:rsidTr="00FD1025">
        <w:trPr>
          <w:trHeight w:val="264"/>
        </w:trPr>
        <w:tc>
          <w:tcPr>
            <w:tcW w:w="3539" w:type="dxa"/>
            <w:noWrap/>
            <w:hideMark/>
          </w:tcPr>
          <w:p w14:paraId="3DF22084" w14:textId="77777777" w:rsidR="00620798" w:rsidRPr="00630C85" w:rsidRDefault="00620798" w:rsidP="00FD1025">
            <w:pPr>
              <w:rPr>
                <w:rFonts w:ascii="Arial" w:eastAsia="Times New Roman" w:hAnsi="Arial" w:cs="Arial"/>
                <w:sz w:val="20"/>
                <w:szCs w:val="20"/>
                <w:lang w:eastAsia="en-GB"/>
              </w:rPr>
            </w:pPr>
            <w:r w:rsidRPr="00630C85">
              <w:rPr>
                <w:rFonts w:ascii="Arial" w:eastAsia="Times New Roman" w:hAnsi="Arial" w:cs="Arial"/>
                <w:sz w:val="20"/>
                <w:szCs w:val="20"/>
                <w:lang w:eastAsia="en-GB"/>
              </w:rPr>
              <w:t>Southwark</w:t>
            </w:r>
          </w:p>
        </w:tc>
        <w:tc>
          <w:tcPr>
            <w:tcW w:w="1611" w:type="dxa"/>
            <w:noWrap/>
            <w:hideMark/>
          </w:tcPr>
          <w:p w14:paraId="0CD63BA7"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44.3%</w:t>
            </w:r>
          </w:p>
        </w:tc>
        <w:tc>
          <w:tcPr>
            <w:tcW w:w="1612" w:type="dxa"/>
            <w:noWrap/>
            <w:hideMark/>
          </w:tcPr>
          <w:p w14:paraId="11BB2507"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19.8%</w:t>
            </w:r>
          </w:p>
        </w:tc>
        <w:tc>
          <w:tcPr>
            <w:tcW w:w="2254" w:type="dxa"/>
            <w:noWrap/>
            <w:hideMark/>
          </w:tcPr>
          <w:p w14:paraId="5388293A"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24.5%</w:t>
            </w:r>
          </w:p>
        </w:tc>
      </w:tr>
      <w:tr w:rsidR="00620798" w:rsidRPr="00630C85" w14:paraId="6F1ED1AB" w14:textId="77777777" w:rsidTr="00FD1025">
        <w:trPr>
          <w:trHeight w:val="264"/>
        </w:trPr>
        <w:tc>
          <w:tcPr>
            <w:tcW w:w="3539" w:type="dxa"/>
            <w:noWrap/>
            <w:hideMark/>
          </w:tcPr>
          <w:p w14:paraId="5713B62B" w14:textId="77777777" w:rsidR="00620798" w:rsidRPr="00630C85" w:rsidRDefault="00620798" w:rsidP="00FD1025">
            <w:pPr>
              <w:rPr>
                <w:rFonts w:ascii="Arial" w:eastAsia="Times New Roman" w:hAnsi="Arial" w:cs="Arial"/>
                <w:sz w:val="20"/>
                <w:szCs w:val="20"/>
                <w:lang w:eastAsia="en-GB"/>
              </w:rPr>
            </w:pPr>
            <w:r w:rsidRPr="00630C85">
              <w:rPr>
                <w:rFonts w:ascii="Arial" w:eastAsia="Times New Roman" w:hAnsi="Arial" w:cs="Arial"/>
                <w:sz w:val="20"/>
                <w:szCs w:val="20"/>
                <w:lang w:eastAsia="en-GB"/>
              </w:rPr>
              <w:t>Lambeth</w:t>
            </w:r>
          </w:p>
        </w:tc>
        <w:tc>
          <w:tcPr>
            <w:tcW w:w="1611" w:type="dxa"/>
            <w:noWrap/>
            <w:hideMark/>
          </w:tcPr>
          <w:p w14:paraId="2A40839D"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43.0%</w:t>
            </w:r>
          </w:p>
        </w:tc>
        <w:tc>
          <w:tcPr>
            <w:tcW w:w="1612" w:type="dxa"/>
            <w:noWrap/>
            <w:hideMark/>
          </w:tcPr>
          <w:p w14:paraId="0805D868"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18.8%</w:t>
            </w:r>
          </w:p>
        </w:tc>
        <w:tc>
          <w:tcPr>
            <w:tcW w:w="2254" w:type="dxa"/>
            <w:noWrap/>
            <w:hideMark/>
          </w:tcPr>
          <w:p w14:paraId="634BD45D"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24.2%</w:t>
            </w:r>
          </w:p>
        </w:tc>
      </w:tr>
      <w:tr w:rsidR="00620798" w:rsidRPr="00630C85" w14:paraId="0433EF15" w14:textId="77777777" w:rsidTr="00FD1025">
        <w:trPr>
          <w:trHeight w:val="264"/>
        </w:trPr>
        <w:tc>
          <w:tcPr>
            <w:tcW w:w="3539" w:type="dxa"/>
            <w:noWrap/>
            <w:hideMark/>
          </w:tcPr>
          <w:p w14:paraId="0C5E7DD1" w14:textId="77777777" w:rsidR="00620798" w:rsidRPr="00630C85" w:rsidRDefault="00620798" w:rsidP="00FD1025">
            <w:pPr>
              <w:rPr>
                <w:rFonts w:ascii="Arial" w:eastAsia="Times New Roman" w:hAnsi="Arial" w:cs="Arial"/>
                <w:sz w:val="20"/>
                <w:szCs w:val="20"/>
                <w:lang w:eastAsia="en-GB"/>
              </w:rPr>
            </w:pPr>
            <w:r w:rsidRPr="00630C85">
              <w:rPr>
                <w:rFonts w:ascii="Arial" w:eastAsia="Times New Roman" w:hAnsi="Arial" w:cs="Arial"/>
                <w:sz w:val="20"/>
                <w:szCs w:val="20"/>
                <w:lang w:eastAsia="en-GB"/>
              </w:rPr>
              <w:t>Waltham Forest</w:t>
            </w:r>
          </w:p>
        </w:tc>
        <w:tc>
          <w:tcPr>
            <w:tcW w:w="1611" w:type="dxa"/>
            <w:noWrap/>
            <w:hideMark/>
          </w:tcPr>
          <w:p w14:paraId="200D7599"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47.4%</w:t>
            </w:r>
          </w:p>
        </w:tc>
        <w:tc>
          <w:tcPr>
            <w:tcW w:w="1612" w:type="dxa"/>
            <w:noWrap/>
            <w:hideMark/>
          </w:tcPr>
          <w:p w14:paraId="3F652AAD"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23.2%</w:t>
            </w:r>
          </w:p>
        </w:tc>
        <w:tc>
          <w:tcPr>
            <w:tcW w:w="2254" w:type="dxa"/>
            <w:noWrap/>
            <w:hideMark/>
          </w:tcPr>
          <w:p w14:paraId="2722FC40"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24.2%</w:t>
            </w:r>
          </w:p>
        </w:tc>
      </w:tr>
      <w:tr w:rsidR="00620798" w:rsidRPr="00630C85" w14:paraId="694947CA" w14:textId="77777777" w:rsidTr="00FD1025">
        <w:trPr>
          <w:trHeight w:val="264"/>
        </w:trPr>
        <w:tc>
          <w:tcPr>
            <w:tcW w:w="3539" w:type="dxa"/>
            <w:noWrap/>
            <w:hideMark/>
          </w:tcPr>
          <w:p w14:paraId="5767A536" w14:textId="77777777" w:rsidR="00620798" w:rsidRPr="00630C85" w:rsidRDefault="00620798" w:rsidP="00FD1025">
            <w:pPr>
              <w:rPr>
                <w:rFonts w:ascii="Arial" w:eastAsia="Times New Roman" w:hAnsi="Arial" w:cs="Arial"/>
                <w:sz w:val="20"/>
                <w:szCs w:val="20"/>
                <w:lang w:eastAsia="en-GB"/>
              </w:rPr>
            </w:pPr>
            <w:r w:rsidRPr="00630C85">
              <w:rPr>
                <w:rFonts w:ascii="Arial" w:eastAsia="Times New Roman" w:hAnsi="Arial" w:cs="Arial"/>
                <w:sz w:val="20"/>
                <w:szCs w:val="20"/>
                <w:lang w:eastAsia="en-GB"/>
              </w:rPr>
              <w:t>Camden</w:t>
            </w:r>
          </w:p>
        </w:tc>
        <w:tc>
          <w:tcPr>
            <w:tcW w:w="1611" w:type="dxa"/>
            <w:noWrap/>
            <w:hideMark/>
          </w:tcPr>
          <w:p w14:paraId="3E39E561"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38.9%</w:t>
            </w:r>
          </w:p>
        </w:tc>
        <w:tc>
          <w:tcPr>
            <w:tcW w:w="1612" w:type="dxa"/>
            <w:noWrap/>
            <w:hideMark/>
          </w:tcPr>
          <w:p w14:paraId="4E218F22"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15.3%</w:t>
            </w:r>
          </w:p>
        </w:tc>
        <w:tc>
          <w:tcPr>
            <w:tcW w:w="2254" w:type="dxa"/>
            <w:noWrap/>
            <w:hideMark/>
          </w:tcPr>
          <w:p w14:paraId="787CDD78"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23.6%</w:t>
            </w:r>
          </w:p>
        </w:tc>
      </w:tr>
      <w:tr w:rsidR="00620798" w:rsidRPr="00630C85" w14:paraId="09F9C17F" w14:textId="77777777" w:rsidTr="00FD1025">
        <w:trPr>
          <w:trHeight w:val="264"/>
        </w:trPr>
        <w:tc>
          <w:tcPr>
            <w:tcW w:w="3539" w:type="dxa"/>
            <w:noWrap/>
            <w:hideMark/>
          </w:tcPr>
          <w:p w14:paraId="3B5412AF" w14:textId="77777777" w:rsidR="00620798" w:rsidRPr="00630C85" w:rsidRDefault="00620798" w:rsidP="00FD1025">
            <w:pPr>
              <w:rPr>
                <w:rFonts w:ascii="Arial" w:eastAsia="Times New Roman" w:hAnsi="Arial" w:cs="Arial"/>
                <w:sz w:val="20"/>
                <w:szCs w:val="20"/>
                <w:lang w:eastAsia="en-GB"/>
              </w:rPr>
            </w:pPr>
            <w:r w:rsidRPr="00630C85">
              <w:rPr>
                <w:rFonts w:ascii="Arial" w:eastAsia="Times New Roman" w:hAnsi="Arial" w:cs="Arial"/>
                <w:sz w:val="20"/>
                <w:szCs w:val="20"/>
                <w:lang w:eastAsia="en-GB"/>
              </w:rPr>
              <w:t>Barking and Dagenham</w:t>
            </w:r>
          </w:p>
        </w:tc>
        <w:tc>
          <w:tcPr>
            <w:tcW w:w="1611" w:type="dxa"/>
            <w:noWrap/>
            <w:hideMark/>
          </w:tcPr>
          <w:p w14:paraId="235D988C"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49.9%</w:t>
            </w:r>
          </w:p>
        </w:tc>
        <w:tc>
          <w:tcPr>
            <w:tcW w:w="1612" w:type="dxa"/>
            <w:noWrap/>
            <w:hideMark/>
          </w:tcPr>
          <w:p w14:paraId="58B1E596"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26.3%</w:t>
            </w:r>
          </w:p>
        </w:tc>
        <w:tc>
          <w:tcPr>
            <w:tcW w:w="2254" w:type="dxa"/>
            <w:noWrap/>
            <w:hideMark/>
          </w:tcPr>
          <w:p w14:paraId="3BC18435"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23.6%</w:t>
            </w:r>
          </w:p>
        </w:tc>
      </w:tr>
      <w:tr w:rsidR="00620798" w:rsidRPr="00630C85" w14:paraId="08FFDB3C" w14:textId="77777777" w:rsidTr="00FD1025">
        <w:trPr>
          <w:trHeight w:val="264"/>
        </w:trPr>
        <w:tc>
          <w:tcPr>
            <w:tcW w:w="3539" w:type="dxa"/>
            <w:noWrap/>
            <w:hideMark/>
          </w:tcPr>
          <w:p w14:paraId="4D80C940" w14:textId="77777777" w:rsidR="00620798" w:rsidRPr="00630C85" w:rsidRDefault="00620798" w:rsidP="00FD1025">
            <w:pPr>
              <w:rPr>
                <w:rFonts w:ascii="Arial" w:eastAsia="Times New Roman" w:hAnsi="Arial" w:cs="Arial"/>
                <w:sz w:val="20"/>
                <w:szCs w:val="20"/>
                <w:lang w:eastAsia="en-GB"/>
              </w:rPr>
            </w:pPr>
            <w:r w:rsidRPr="00630C85">
              <w:rPr>
                <w:rFonts w:ascii="Arial" w:eastAsia="Times New Roman" w:hAnsi="Arial" w:cs="Arial"/>
                <w:sz w:val="20"/>
                <w:szCs w:val="20"/>
                <w:lang w:eastAsia="en-GB"/>
              </w:rPr>
              <w:t>Haringey</w:t>
            </w:r>
          </w:p>
        </w:tc>
        <w:tc>
          <w:tcPr>
            <w:tcW w:w="1611" w:type="dxa"/>
            <w:noWrap/>
            <w:hideMark/>
          </w:tcPr>
          <w:p w14:paraId="60B58B38"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42.4%</w:t>
            </w:r>
          </w:p>
        </w:tc>
        <w:tc>
          <w:tcPr>
            <w:tcW w:w="1612" w:type="dxa"/>
            <w:noWrap/>
            <w:hideMark/>
          </w:tcPr>
          <w:p w14:paraId="2FAABD8F"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18.9%</w:t>
            </w:r>
          </w:p>
        </w:tc>
        <w:tc>
          <w:tcPr>
            <w:tcW w:w="2254" w:type="dxa"/>
            <w:noWrap/>
            <w:hideMark/>
          </w:tcPr>
          <w:p w14:paraId="4436E519"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23.5%</w:t>
            </w:r>
          </w:p>
        </w:tc>
      </w:tr>
      <w:tr w:rsidR="00620798" w:rsidRPr="00630C85" w14:paraId="092193E1" w14:textId="77777777" w:rsidTr="00FD1025">
        <w:trPr>
          <w:trHeight w:val="264"/>
        </w:trPr>
        <w:tc>
          <w:tcPr>
            <w:tcW w:w="3539" w:type="dxa"/>
            <w:noWrap/>
            <w:hideMark/>
          </w:tcPr>
          <w:p w14:paraId="5A8A3688" w14:textId="77777777" w:rsidR="00620798" w:rsidRPr="00630C85" w:rsidRDefault="00620798" w:rsidP="00FD1025">
            <w:pPr>
              <w:rPr>
                <w:rFonts w:ascii="Arial" w:eastAsia="Times New Roman" w:hAnsi="Arial" w:cs="Arial"/>
                <w:sz w:val="20"/>
                <w:szCs w:val="20"/>
                <w:lang w:eastAsia="en-GB"/>
              </w:rPr>
            </w:pPr>
            <w:r w:rsidRPr="00630C85">
              <w:rPr>
                <w:rFonts w:ascii="Arial" w:eastAsia="Times New Roman" w:hAnsi="Arial" w:cs="Arial"/>
                <w:sz w:val="20"/>
                <w:szCs w:val="20"/>
                <w:lang w:eastAsia="en-GB"/>
              </w:rPr>
              <w:t>Brent</w:t>
            </w:r>
          </w:p>
        </w:tc>
        <w:tc>
          <w:tcPr>
            <w:tcW w:w="1611" w:type="dxa"/>
            <w:noWrap/>
            <w:hideMark/>
          </w:tcPr>
          <w:p w14:paraId="035ADFEB"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40.8%</w:t>
            </w:r>
          </w:p>
        </w:tc>
        <w:tc>
          <w:tcPr>
            <w:tcW w:w="1612" w:type="dxa"/>
            <w:noWrap/>
            <w:hideMark/>
          </w:tcPr>
          <w:p w14:paraId="504CEC0C"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18.1%</w:t>
            </w:r>
          </w:p>
        </w:tc>
        <w:tc>
          <w:tcPr>
            <w:tcW w:w="2254" w:type="dxa"/>
            <w:noWrap/>
            <w:hideMark/>
          </w:tcPr>
          <w:p w14:paraId="3208729C"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22.7%</w:t>
            </w:r>
          </w:p>
        </w:tc>
      </w:tr>
      <w:tr w:rsidR="00620798" w:rsidRPr="00630C85" w14:paraId="51AD710D" w14:textId="77777777" w:rsidTr="00FD1025">
        <w:trPr>
          <w:trHeight w:val="264"/>
        </w:trPr>
        <w:tc>
          <w:tcPr>
            <w:tcW w:w="3539" w:type="dxa"/>
            <w:noWrap/>
            <w:hideMark/>
          </w:tcPr>
          <w:p w14:paraId="6832E3F8" w14:textId="77777777" w:rsidR="00620798" w:rsidRPr="00630C85" w:rsidRDefault="00620798" w:rsidP="00FD1025">
            <w:pPr>
              <w:rPr>
                <w:rFonts w:ascii="Arial" w:eastAsia="Times New Roman" w:hAnsi="Arial" w:cs="Arial"/>
                <w:sz w:val="20"/>
                <w:szCs w:val="20"/>
                <w:lang w:eastAsia="en-GB"/>
              </w:rPr>
            </w:pPr>
            <w:r w:rsidRPr="00630C85">
              <w:rPr>
                <w:rFonts w:ascii="Arial" w:eastAsia="Times New Roman" w:hAnsi="Arial" w:cs="Arial"/>
                <w:sz w:val="20"/>
                <w:szCs w:val="20"/>
                <w:lang w:eastAsia="en-GB"/>
              </w:rPr>
              <w:t>Greenwich</w:t>
            </w:r>
          </w:p>
        </w:tc>
        <w:tc>
          <w:tcPr>
            <w:tcW w:w="1611" w:type="dxa"/>
            <w:noWrap/>
            <w:hideMark/>
          </w:tcPr>
          <w:p w14:paraId="03609B02"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43.2%</w:t>
            </w:r>
          </w:p>
        </w:tc>
        <w:tc>
          <w:tcPr>
            <w:tcW w:w="1612" w:type="dxa"/>
            <w:noWrap/>
            <w:hideMark/>
          </w:tcPr>
          <w:p w14:paraId="2C273D25"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20.6%</w:t>
            </w:r>
          </w:p>
        </w:tc>
        <w:tc>
          <w:tcPr>
            <w:tcW w:w="2254" w:type="dxa"/>
            <w:noWrap/>
            <w:hideMark/>
          </w:tcPr>
          <w:p w14:paraId="78618EBA"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22.6%</w:t>
            </w:r>
          </w:p>
        </w:tc>
      </w:tr>
      <w:tr w:rsidR="00620798" w:rsidRPr="00630C85" w14:paraId="5ED8EE34" w14:textId="77777777" w:rsidTr="00FD1025">
        <w:trPr>
          <w:trHeight w:val="264"/>
        </w:trPr>
        <w:tc>
          <w:tcPr>
            <w:tcW w:w="3539" w:type="dxa"/>
            <w:noWrap/>
            <w:hideMark/>
          </w:tcPr>
          <w:p w14:paraId="05D6E6C1" w14:textId="77777777" w:rsidR="00620798" w:rsidRPr="00630C85" w:rsidRDefault="00620798" w:rsidP="00FD1025">
            <w:pPr>
              <w:rPr>
                <w:rFonts w:ascii="Arial" w:eastAsia="Times New Roman" w:hAnsi="Arial" w:cs="Arial"/>
                <w:sz w:val="20"/>
                <w:szCs w:val="20"/>
                <w:lang w:eastAsia="en-GB"/>
              </w:rPr>
            </w:pPr>
            <w:r w:rsidRPr="00630C85">
              <w:rPr>
                <w:rFonts w:ascii="Arial" w:eastAsia="Times New Roman" w:hAnsi="Arial" w:cs="Arial"/>
                <w:sz w:val="20"/>
                <w:szCs w:val="20"/>
                <w:lang w:eastAsia="en-GB"/>
              </w:rPr>
              <w:t>Lewisham</w:t>
            </w:r>
          </w:p>
        </w:tc>
        <w:tc>
          <w:tcPr>
            <w:tcW w:w="1611" w:type="dxa"/>
            <w:noWrap/>
            <w:hideMark/>
          </w:tcPr>
          <w:p w14:paraId="205F243A"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42.0%</w:t>
            </w:r>
          </w:p>
        </w:tc>
        <w:tc>
          <w:tcPr>
            <w:tcW w:w="1612" w:type="dxa"/>
            <w:noWrap/>
            <w:hideMark/>
          </w:tcPr>
          <w:p w14:paraId="7CFD7BB1"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19.5%</w:t>
            </w:r>
          </w:p>
        </w:tc>
        <w:tc>
          <w:tcPr>
            <w:tcW w:w="2254" w:type="dxa"/>
            <w:noWrap/>
            <w:hideMark/>
          </w:tcPr>
          <w:p w14:paraId="237F1F1A"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22.5%</w:t>
            </w:r>
          </w:p>
        </w:tc>
      </w:tr>
      <w:tr w:rsidR="00620798" w:rsidRPr="00630C85" w14:paraId="5580A3A9" w14:textId="77777777" w:rsidTr="00FD1025">
        <w:trPr>
          <w:trHeight w:val="264"/>
        </w:trPr>
        <w:tc>
          <w:tcPr>
            <w:tcW w:w="3539" w:type="dxa"/>
            <w:noWrap/>
            <w:hideMark/>
          </w:tcPr>
          <w:p w14:paraId="43371EDA" w14:textId="77777777" w:rsidR="00620798" w:rsidRPr="00630C85" w:rsidRDefault="00620798" w:rsidP="00FD1025">
            <w:pPr>
              <w:rPr>
                <w:rFonts w:ascii="Arial" w:eastAsia="Times New Roman" w:hAnsi="Arial" w:cs="Arial"/>
                <w:sz w:val="20"/>
                <w:szCs w:val="20"/>
                <w:lang w:eastAsia="en-GB"/>
              </w:rPr>
            </w:pPr>
            <w:r w:rsidRPr="00630C85">
              <w:rPr>
                <w:rFonts w:ascii="Arial" w:eastAsia="Times New Roman" w:hAnsi="Arial" w:cs="Arial"/>
                <w:sz w:val="20"/>
                <w:szCs w:val="20"/>
                <w:lang w:eastAsia="en-GB"/>
              </w:rPr>
              <w:t>Redbridge</w:t>
            </w:r>
          </w:p>
        </w:tc>
        <w:tc>
          <w:tcPr>
            <w:tcW w:w="1611" w:type="dxa"/>
            <w:noWrap/>
            <w:hideMark/>
          </w:tcPr>
          <w:p w14:paraId="34A7627E"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41.3%</w:t>
            </w:r>
          </w:p>
        </w:tc>
        <w:tc>
          <w:tcPr>
            <w:tcW w:w="1612" w:type="dxa"/>
            <w:noWrap/>
            <w:hideMark/>
          </w:tcPr>
          <w:p w14:paraId="147A58B0"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19.0%</w:t>
            </w:r>
          </w:p>
        </w:tc>
        <w:tc>
          <w:tcPr>
            <w:tcW w:w="2254" w:type="dxa"/>
            <w:noWrap/>
            <w:hideMark/>
          </w:tcPr>
          <w:p w14:paraId="34A91468"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22.3%</w:t>
            </w:r>
          </w:p>
        </w:tc>
      </w:tr>
      <w:tr w:rsidR="00620798" w:rsidRPr="00630C85" w14:paraId="41675822" w14:textId="77777777" w:rsidTr="00FD1025">
        <w:trPr>
          <w:trHeight w:val="264"/>
        </w:trPr>
        <w:tc>
          <w:tcPr>
            <w:tcW w:w="3539" w:type="dxa"/>
            <w:noWrap/>
            <w:hideMark/>
          </w:tcPr>
          <w:p w14:paraId="431367FB" w14:textId="77777777" w:rsidR="00620798" w:rsidRPr="00630C85" w:rsidRDefault="00620798" w:rsidP="00FD1025">
            <w:pPr>
              <w:rPr>
                <w:rFonts w:ascii="Arial" w:eastAsia="Times New Roman" w:hAnsi="Arial" w:cs="Arial"/>
                <w:sz w:val="20"/>
                <w:szCs w:val="20"/>
                <w:lang w:eastAsia="en-GB"/>
              </w:rPr>
            </w:pPr>
            <w:r w:rsidRPr="00630C85">
              <w:rPr>
                <w:rFonts w:ascii="Arial" w:eastAsia="Times New Roman" w:hAnsi="Arial" w:cs="Arial"/>
                <w:sz w:val="20"/>
                <w:szCs w:val="20"/>
                <w:lang w:eastAsia="en-GB"/>
              </w:rPr>
              <w:t>Hounslow</w:t>
            </w:r>
          </w:p>
        </w:tc>
        <w:tc>
          <w:tcPr>
            <w:tcW w:w="1611" w:type="dxa"/>
            <w:noWrap/>
            <w:hideMark/>
          </w:tcPr>
          <w:p w14:paraId="5A88DD00"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40.8%</w:t>
            </w:r>
          </w:p>
        </w:tc>
        <w:tc>
          <w:tcPr>
            <w:tcW w:w="1612" w:type="dxa"/>
            <w:noWrap/>
            <w:hideMark/>
          </w:tcPr>
          <w:p w14:paraId="4F933A84"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18.7%</w:t>
            </w:r>
          </w:p>
        </w:tc>
        <w:tc>
          <w:tcPr>
            <w:tcW w:w="2254" w:type="dxa"/>
            <w:noWrap/>
            <w:hideMark/>
          </w:tcPr>
          <w:p w14:paraId="5E38BAE9"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22.1%</w:t>
            </w:r>
          </w:p>
        </w:tc>
      </w:tr>
      <w:tr w:rsidR="00620798" w:rsidRPr="00630C85" w14:paraId="4A9BD5BE" w14:textId="77777777" w:rsidTr="00FD1025">
        <w:trPr>
          <w:trHeight w:val="264"/>
        </w:trPr>
        <w:tc>
          <w:tcPr>
            <w:tcW w:w="3539" w:type="dxa"/>
            <w:noWrap/>
            <w:hideMark/>
          </w:tcPr>
          <w:p w14:paraId="34ACE1E0" w14:textId="77777777" w:rsidR="00620798" w:rsidRPr="00630C85" w:rsidRDefault="00620798" w:rsidP="00FD1025">
            <w:pPr>
              <w:rPr>
                <w:rFonts w:ascii="Arial" w:eastAsia="Times New Roman" w:hAnsi="Arial" w:cs="Arial"/>
                <w:sz w:val="20"/>
                <w:szCs w:val="20"/>
                <w:lang w:eastAsia="en-GB"/>
              </w:rPr>
            </w:pPr>
            <w:r w:rsidRPr="00630C85">
              <w:rPr>
                <w:rFonts w:ascii="Arial" w:eastAsia="Times New Roman" w:hAnsi="Arial" w:cs="Arial"/>
                <w:sz w:val="20"/>
                <w:szCs w:val="20"/>
                <w:lang w:eastAsia="en-GB"/>
              </w:rPr>
              <w:t>Ealing</w:t>
            </w:r>
          </w:p>
        </w:tc>
        <w:tc>
          <w:tcPr>
            <w:tcW w:w="1611" w:type="dxa"/>
            <w:noWrap/>
            <w:hideMark/>
          </w:tcPr>
          <w:p w14:paraId="676219D3"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39.5%</w:t>
            </w:r>
          </w:p>
        </w:tc>
        <w:tc>
          <w:tcPr>
            <w:tcW w:w="1612" w:type="dxa"/>
            <w:noWrap/>
            <w:hideMark/>
          </w:tcPr>
          <w:p w14:paraId="3985B07C"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17.6%</w:t>
            </w:r>
          </w:p>
        </w:tc>
        <w:tc>
          <w:tcPr>
            <w:tcW w:w="2254" w:type="dxa"/>
            <w:noWrap/>
            <w:hideMark/>
          </w:tcPr>
          <w:p w14:paraId="58D0500D"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21.9%</w:t>
            </w:r>
          </w:p>
        </w:tc>
      </w:tr>
      <w:tr w:rsidR="00620798" w:rsidRPr="00630C85" w14:paraId="23271DD5" w14:textId="77777777" w:rsidTr="00FD1025">
        <w:trPr>
          <w:trHeight w:val="264"/>
        </w:trPr>
        <w:tc>
          <w:tcPr>
            <w:tcW w:w="3539" w:type="dxa"/>
            <w:noWrap/>
            <w:hideMark/>
          </w:tcPr>
          <w:p w14:paraId="5763BDC0" w14:textId="77777777" w:rsidR="00620798" w:rsidRPr="00630C85" w:rsidRDefault="00620798" w:rsidP="00FD1025">
            <w:pPr>
              <w:rPr>
                <w:rFonts w:ascii="Arial" w:eastAsia="Times New Roman" w:hAnsi="Arial" w:cs="Arial"/>
                <w:sz w:val="20"/>
                <w:szCs w:val="20"/>
                <w:lang w:eastAsia="en-GB"/>
              </w:rPr>
            </w:pPr>
            <w:r w:rsidRPr="00630C85">
              <w:rPr>
                <w:rFonts w:ascii="Arial" w:eastAsia="Times New Roman" w:hAnsi="Arial" w:cs="Arial"/>
                <w:sz w:val="20"/>
                <w:szCs w:val="20"/>
                <w:lang w:eastAsia="en-GB"/>
              </w:rPr>
              <w:t>Enfield</w:t>
            </w:r>
          </w:p>
        </w:tc>
        <w:tc>
          <w:tcPr>
            <w:tcW w:w="1611" w:type="dxa"/>
            <w:noWrap/>
            <w:hideMark/>
          </w:tcPr>
          <w:p w14:paraId="287365E3"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39.5%</w:t>
            </w:r>
          </w:p>
        </w:tc>
        <w:tc>
          <w:tcPr>
            <w:tcW w:w="1612" w:type="dxa"/>
            <w:noWrap/>
            <w:hideMark/>
          </w:tcPr>
          <w:p w14:paraId="6E1887F5"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17.8%</w:t>
            </w:r>
          </w:p>
        </w:tc>
        <w:tc>
          <w:tcPr>
            <w:tcW w:w="2254" w:type="dxa"/>
            <w:noWrap/>
            <w:hideMark/>
          </w:tcPr>
          <w:p w14:paraId="3E24C1AF"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21.7%</w:t>
            </w:r>
          </w:p>
        </w:tc>
      </w:tr>
      <w:tr w:rsidR="00620798" w:rsidRPr="00630C85" w14:paraId="5F2CCE57" w14:textId="77777777" w:rsidTr="00FD1025">
        <w:trPr>
          <w:trHeight w:val="264"/>
        </w:trPr>
        <w:tc>
          <w:tcPr>
            <w:tcW w:w="3539" w:type="dxa"/>
            <w:noWrap/>
            <w:hideMark/>
          </w:tcPr>
          <w:p w14:paraId="2EB04441" w14:textId="77777777" w:rsidR="00620798" w:rsidRPr="00630C85" w:rsidRDefault="00620798" w:rsidP="00FD1025">
            <w:pPr>
              <w:rPr>
                <w:rFonts w:ascii="Arial" w:eastAsia="Times New Roman" w:hAnsi="Arial" w:cs="Arial"/>
                <w:sz w:val="20"/>
                <w:szCs w:val="20"/>
                <w:lang w:eastAsia="en-GB"/>
              </w:rPr>
            </w:pPr>
            <w:r w:rsidRPr="00630C85">
              <w:rPr>
                <w:rFonts w:ascii="Arial" w:eastAsia="Times New Roman" w:hAnsi="Arial" w:cs="Arial"/>
                <w:sz w:val="20"/>
                <w:szCs w:val="20"/>
                <w:lang w:eastAsia="en-GB"/>
              </w:rPr>
              <w:t>Merton</w:t>
            </w:r>
          </w:p>
        </w:tc>
        <w:tc>
          <w:tcPr>
            <w:tcW w:w="1611" w:type="dxa"/>
            <w:noWrap/>
            <w:hideMark/>
          </w:tcPr>
          <w:p w14:paraId="3B373D37"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37.0%</w:t>
            </w:r>
          </w:p>
        </w:tc>
        <w:tc>
          <w:tcPr>
            <w:tcW w:w="1612" w:type="dxa"/>
            <w:noWrap/>
            <w:hideMark/>
          </w:tcPr>
          <w:p w14:paraId="51344B62"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16.0%</w:t>
            </w:r>
          </w:p>
        </w:tc>
        <w:tc>
          <w:tcPr>
            <w:tcW w:w="2254" w:type="dxa"/>
            <w:noWrap/>
            <w:hideMark/>
          </w:tcPr>
          <w:p w14:paraId="5E3CD7B9"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21.0%</w:t>
            </w:r>
          </w:p>
        </w:tc>
      </w:tr>
      <w:tr w:rsidR="00620798" w:rsidRPr="00630C85" w14:paraId="05DC8ACB" w14:textId="77777777" w:rsidTr="00FD1025">
        <w:trPr>
          <w:trHeight w:val="264"/>
        </w:trPr>
        <w:tc>
          <w:tcPr>
            <w:tcW w:w="3539" w:type="dxa"/>
            <w:noWrap/>
            <w:hideMark/>
          </w:tcPr>
          <w:p w14:paraId="54F4BC4A" w14:textId="77777777" w:rsidR="00620798" w:rsidRPr="00630C85" w:rsidRDefault="00620798" w:rsidP="00FD1025">
            <w:pPr>
              <w:rPr>
                <w:rFonts w:ascii="Arial" w:eastAsia="Times New Roman" w:hAnsi="Arial" w:cs="Arial"/>
                <w:sz w:val="20"/>
                <w:szCs w:val="20"/>
                <w:lang w:eastAsia="en-GB"/>
              </w:rPr>
            </w:pPr>
            <w:r w:rsidRPr="00630C85">
              <w:rPr>
                <w:rFonts w:ascii="Arial" w:eastAsia="Times New Roman" w:hAnsi="Arial" w:cs="Arial"/>
                <w:sz w:val="20"/>
                <w:szCs w:val="20"/>
                <w:lang w:eastAsia="en-GB"/>
              </w:rPr>
              <w:t>Hammersmith and Fulham</w:t>
            </w:r>
          </w:p>
        </w:tc>
        <w:tc>
          <w:tcPr>
            <w:tcW w:w="1611" w:type="dxa"/>
            <w:noWrap/>
            <w:hideMark/>
          </w:tcPr>
          <w:p w14:paraId="4BE8572C"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34.6%</w:t>
            </w:r>
          </w:p>
        </w:tc>
        <w:tc>
          <w:tcPr>
            <w:tcW w:w="1612" w:type="dxa"/>
            <w:noWrap/>
            <w:hideMark/>
          </w:tcPr>
          <w:p w14:paraId="2B65093A"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13.7%</w:t>
            </w:r>
          </w:p>
        </w:tc>
        <w:tc>
          <w:tcPr>
            <w:tcW w:w="2254" w:type="dxa"/>
            <w:noWrap/>
            <w:hideMark/>
          </w:tcPr>
          <w:p w14:paraId="5E1FD288"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20.9%</w:t>
            </w:r>
          </w:p>
        </w:tc>
      </w:tr>
      <w:tr w:rsidR="00620798" w:rsidRPr="00630C85" w14:paraId="28055573" w14:textId="77777777" w:rsidTr="00FD1025">
        <w:trPr>
          <w:trHeight w:val="264"/>
        </w:trPr>
        <w:tc>
          <w:tcPr>
            <w:tcW w:w="3539" w:type="dxa"/>
            <w:noWrap/>
            <w:hideMark/>
          </w:tcPr>
          <w:p w14:paraId="78C549FC" w14:textId="77777777" w:rsidR="00620798" w:rsidRPr="00630C85" w:rsidRDefault="00620798" w:rsidP="00FD1025">
            <w:pPr>
              <w:rPr>
                <w:rFonts w:ascii="Arial" w:eastAsia="Times New Roman" w:hAnsi="Arial" w:cs="Arial"/>
                <w:sz w:val="20"/>
                <w:szCs w:val="20"/>
                <w:lang w:eastAsia="en-GB"/>
              </w:rPr>
            </w:pPr>
            <w:r w:rsidRPr="00630C85">
              <w:rPr>
                <w:rFonts w:ascii="Arial" w:eastAsia="Times New Roman" w:hAnsi="Arial" w:cs="Arial"/>
                <w:sz w:val="20"/>
                <w:szCs w:val="20"/>
                <w:lang w:eastAsia="en-GB"/>
              </w:rPr>
              <w:t>Croydon</w:t>
            </w:r>
          </w:p>
        </w:tc>
        <w:tc>
          <w:tcPr>
            <w:tcW w:w="1611" w:type="dxa"/>
            <w:noWrap/>
            <w:hideMark/>
          </w:tcPr>
          <w:p w14:paraId="43B44A3F"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38.2%</w:t>
            </w:r>
          </w:p>
        </w:tc>
        <w:tc>
          <w:tcPr>
            <w:tcW w:w="1612" w:type="dxa"/>
            <w:noWrap/>
            <w:hideMark/>
          </w:tcPr>
          <w:p w14:paraId="76913CE8"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17.4%</w:t>
            </w:r>
          </w:p>
        </w:tc>
        <w:tc>
          <w:tcPr>
            <w:tcW w:w="2254" w:type="dxa"/>
            <w:noWrap/>
            <w:hideMark/>
          </w:tcPr>
          <w:p w14:paraId="3CDA914F"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20.8%</w:t>
            </w:r>
          </w:p>
        </w:tc>
      </w:tr>
    </w:tbl>
    <w:p w14:paraId="6FABD6C5" w14:textId="77777777" w:rsidR="00620798" w:rsidRDefault="00620798" w:rsidP="00620798">
      <w:pPr>
        <w:spacing w:after="0" w:line="240" w:lineRule="auto"/>
        <w:ind w:left="1440" w:hanging="1440"/>
        <w:rPr>
          <w:b/>
          <w:bCs/>
          <w:sz w:val="24"/>
          <w:szCs w:val="24"/>
        </w:rPr>
      </w:pPr>
    </w:p>
    <w:p w14:paraId="5039C3ED" w14:textId="77777777" w:rsidR="00620798" w:rsidRDefault="00620798">
      <w:pPr>
        <w:rPr>
          <w:b/>
          <w:bCs/>
          <w:sz w:val="24"/>
          <w:szCs w:val="24"/>
        </w:rPr>
      </w:pPr>
      <w:r>
        <w:rPr>
          <w:b/>
          <w:bCs/>
          <w:sz w:val="24"/>
          <w:szCs w:val="24"/>
        </w:rPr>
        <w:br w:type="page"/>
      </w:r>
    </w:p>
    <w:p w14:paraId="2E5B3409" w14:textId="522AD4FD" w:rsidR="00620798" w:rsidRDefault="00620798" w:rsidP="00620798">
      <w:pPr>
        <w:spacing w:after="0" w:line="240" w:lineRule="auto"/>
        <w:ind w:left="1440" w:hanging="1440"/>
        <w:rPr>
          <w:b/>
          <w:bCs/>
          <w:sz w:val="24"/>
          <w:szCs w:val="24"/>
        </w:rPr>
      </w:pPr>
      <w:r w:rsidRPr="00165B05">
        <w:rPr>
          <w:b/>
          <w:bCs/>
          <w:sz w:val="24"/>
          <w:szCs w:val="24"/>
        </w:rPr>
        <w:lastRenderedPageBreak/>
        <w:t xml:space="preserve">Table </w:t>
      </w:r>
      <w:r>
        <w:rPr>
          <w:b/>
          <w:bCs/>
          <w:sz w:val="24"/>
          <w:szCs w:val="24"/>
        </w:rPr>
        <w:t>6</w:t>
      </w:r>
      <w:r w:rsidRPr="00165B05">
        <w:rPr>
          <w:b/>
          <w:bCs/>
          <w:sz w:val="24"/>
          <w:szCs w:val="24"/>
        </w:rPr>
        <w:tab/>
        <w:t xml:space="preserve">The 20 </w:t>
      </w:r>
      <w:r>
        <w:rPr>
          <w:b/>
          <w:bCs/>
          <w:sz w:val="24"/>
          <w:szCs w:val="24"/>
        </w:rPr>
        <w:t>constituencies with</w:t>
      </w:r>
      <w:r w:rsidRPr="00165B05">
        <w:rPr>
          <w:b/>
          <w:bCs/>
          <w:sz w:val="24"/>
          <w:szCs w:val="24"/>
        </w:rPr>
        <w:t xml:space="preserve"> </w:t>
      </w:r>
      <w:r>
        <w:rPr>
          <w:b/>
          <w:bCs/>
          <w:sz w:val="24"/>
          <w:szCs w:val="24"/>
        </w:rPr>
        <w:t xml:space="preserve">the highest AHC compared to BHC poverty rates, </w:t>
      </w:r>
      <w:r w:rsidRPr="00165B05">
        <w:rPr>
          <w:b/>
          <w:bCs/>
          <w:sz w:val="24"/>
          <w:szCs w:val="24"/>
        </w:rPr>
        <w:t>2018/19</w:t>
      </w:r>
    </w:p>
    <w:p w14:paraId="7BE80978" w14:textId="77777777" w:rsidR="00620798" w:rsidRPr="00165B05" w:rsidRDefault="00620798" w:rsidP="00620798">
      <w:pPr>
        <w:rPr>
          <w:sz w:val="24"/>
          <w:szCs w:val="24"/>
        </w:rPr>
      </w:pPr>
    </w:p>
    <w:tbl>
      <w:tblPr>
        <w:tblStyle w:val="TableGrid"/>
        <w:tblW w:w="0" w:type="auto"/>
        <w:tblLook w:val="04A0" w:firstRow="1" w:lastRow="0" w:firstColumn="1" w:lastColumn="0" w:noHBand="0" w:noVBand="1"/>
      </w:tblPr>
      <w:tblGrid>
        <w:gridCol w:w="3539"/>
        <w:gridCol w:w="1611"/>
        <w:gridCol w:w="1612"/>
        <w:gridCol w:w="2254"/>
      </w:tblGrid>
      <w:tr w:rsidR="009352BC" w:rsidRPr="00165B05" w14:paraId="17968A3F" w14:textId="77777777" w:rsidTr="00FD1025">
        <w:tc>
          <w:tcPr>
            <w:tcW w:w="3539" w:type="dxa"/>
            <w:vMerge w:val="restart"/>
            <w:shd w:val="clear" w:color="auto" w:fill="B4C6E7" w:themeFill="accent1" w:themeFillTint="66"/>
          </w:tcPr>
          <w:p w14:paraId="0FC03662" w14:textId="66471841" w:rsidR="009352BC" w:rsidRPr="009352BC" w:rsidRDefault="009352BC" w:rsidP="00FD1025">
            <w:pPr>
              <w:rPr>
                <w:rFonts w:ascii="Calibri" w:eastAsia="Times New Roman" w:hAnsi="Calibri" w:cs="Calibri"/>
                <w:b/>
                <w:bCs/>
                <w:sz w:val="24"/>
                <w:szCs w:val="24"/>
                <w:lang w:eastAsia="en-GB"/>
              </w:rPr>
            </w:pPr>
            <w:r w:rsidRPr="009352BC">
              <w:rPr>
                <w:rFonts w:ascii="Calibri" w:eastAsia="Times New Roman" w:hAnsi="Calibri" w:cs="Calibri"/>
                <w:b/>
                <w:bCs/>
                <w:sz w:val="24"/>
                <w:szCs w:val="24"/>
                <w:lang w:eastAsia="en-GB"/>
              </w:rPr>
              <w:t>Constituency</w:t>
            </w:r>
          </w:p>
        </w:tc>
        <w:tc>
          <w:tcPr>
            <w:tcW w:w="5477" w:type="dxa"/>
            <w:gridSpan w:val="3"/>
            <w:shd w:val="clear" w:color="auto" w:fill="B4C6E7" w:themeFill="accent1" w:themeFillTint="66"/>
          </w:tcPr>
          <w:p w14:paraId="5BF315C2" w14:textId="77777777" w:rsidR="009352BC" w:rsidRPr="00651CA4" w:rsidRDefault="009352BC" w:rsidP="00FD1025">
            <w:pPr>
              <w:jc w:val="center"/>
              <w:rPr>
                <w:rFonts w:ascii="Calibri" w:eastAsia="Times New Roman" w:hAnsi="Calibri" w:cs="Calibri"/>
                <w:b/>
                <w:bCs/>
                <w:sz w:val="24"/>
                <w:szCs w:val="24"/>
                <w:lang w:eastAsia="en-GB"/>
              </w:rPr>
            </w:pPr>
            <w:r w:rsidRPr="00687421">
              <w:rPr>
                <w:rFonts w:ascii="Calibri" w:eastAsia="Times New Roman" w:hAnsi="Calibri" w:cs="Calibri"/>
                <w:b/>
                <w:bCs/>
                <w:sz w:val="24"/>
                <w:szCs w:val="24"/>
                <w:lang w:eastAsia="en-GB"/>
              </w:rPr>
              <w:t>% of children below 60% median income AHC</w:t>
            </w:r>
          </w:p>
        </w:tc>
      </w:tr>
      <w:tr w:rsidR="009352BC" w:rsidRPr="00165B05" w14:paraId="49318DD4" w14:textId="77777777" w:rsidTr="00FD1025">
        <w:tc>
          <w:tcPr>
            <w:tcW w:w="3539" w:type="dxa"/>
            <w:vMerge/>
            <w:shd w:val="clear" w:color="auto" w:fill="B4C6E7" w:themeFill="accent1" w:themeFillTint="66"/>
          </w:tcPr>
          <w:p w14:paraId="05425367" w14:textId="213AC292" w:rsidR="009352BC" w:rsidRPr="008A64EE" w:rsidRDefault="009352BC" w:rsidP="00FD1025">
            <w:pPr>
              <w:rPr>
                <w:rFonts w:ascii="Calibri" w:eastAsia="Times New Roman" w:hAnsi="Calibri" w:cs="Calibri"/>
                <w:sz w:val="24"/>
                <w:szCs w:val="24"/>
                <w:lang w:eastAsia="en-GB"/>
              </w:rPr>
            </w:pPr>
          </w:p>
        </w:tc>
        <w:tc>
          <w:tcPr>
            <w:tcW w:w="1611" w:type="dxa"/>
            <w:shd w:val="clear" w:color="auto" w:fill="B4C6E7" w:themeFill="accent1" w:themeFillTint="66"/>
          </w:tcPr>
          <w:p w14:paraId="5C8658F4" w14:textId="77777777" w:rsidR="009352BC" w:rsidRPr="00651CA4" w:rsidRDefault="009352BC" w:rsidP="00FD1025">
            <w:pPr>
              <w:jc w:val="center"/>
              <w:rPr>
                <w:rFonts w:ascii="Calibri" w:eastAsia="Times New Roman" w:hAnsi="Calibri" w:cs="Calibri"/>
                <w:b/>
                <w:bCs/>
                <w:sz w:val="24"/>
                <w:szCs w:val="24"/>
                <w:lang w:eastAsia="en-GB"/>
              </w:rPr>
            </w:pPr>
            <w:r>
              <w:rPr>
                <w:rFonts w:ascii="Calibri" w:eastAsia="Times New Roman" w:hAnsi="Calibri" w:cs="Calibri"/>
                <w:sz w:val="24"/>
                <w:szCs w:val="24"/>
                <w:lang w:eastAsia="en-GB"/>
              </w:rPr>
              <w:t>AHC</w:t>
            </w:r>
          </w:p>
        </w:tc>
        <w:tc>
          <w:tcPr>
            <w:tcW w:w="1612" w:type="dxa"/>
            <w:shd w:val="clear" w:color="auto" w:fill="B4C6E7" w:themeFill="accent1" w:themeFillTint="66"/>
          </w:tcPr>
          <w:p w14:paraId="290F6DDF" w14:textId="77777777" w:rsidR="009352BC" w:rsidRPr="00651CA4" w:rsidRDefault="009352BC" w:rsidP="00FD1025">
            <w:pPr>
              <w:jc w:val="center"/>
              <w:rPr>
                <w:rFonts w:ascii="Calibri" w:eastAsia="Times New Roman" w:hAnsi="Calibri" w:cs="Calibri"/>
                <w:b/>
                <w:bCs/>
                <w:sz w:val="24"/>
                <w:szCs w:val="24"/>
                <w:lang w:eastAsia="en-GB"/>
              </w:rPr>
            </w:pPr>
            <w:r>
              <w:rPr>
                <w:rFonts w:ascii="Calibri" w:eastAsia="Times New Roman" w:hAnsi="Calibri" w:cs="Calibri"/>
                <w:sz w:val="24"/>
                <w:szCs w:val="24"/>
                <w:lang w:eastAsia="en-GB"/>
              </w:rPr>
              <w:t>BHC</w:t>
            </w:r>
          </w:p>
        </w:tc>
        <w:tc>
          <w:tcPr>
            <w:tcW w:w="2254" w:type="dxa"/>
            <w:shd w:val="clear" w:color="auto" w:fill="B4C6E7" w:themeFill="accent1" w:themeFillTint="66"/>
          </w:tcPr>
          <w:p w14:paraId="4FF6C6B2" w14:textId="77777777" w:rsidR="009352BC" w:rsidRPr="008A64EE" w:rsidRDefault="009352BC" w:rsidP="00FD1025">
            <w:pPr>
              <w:rPr>
                <w:rFonts w:ascii="Calibri" w:eastAsia="Times New Roman" w:hAnsi="Calibri" w:cs="Calibri"/>
                <w:sz w:val="24"/>
                <w:szCs w:val="24"/>
                <w:lang w:eastAsia="en-GB"/>
              </w:rPr>
            </w:pPr>
            <w:r w:rsidRPr="008A64EE">
              <w:rPr>
                <w:rFonts w:ascii="Calibri" w:eastAsia="Times New Roman" w:hAnsi="Calibri" w:cs="Calibri"/>
                <w:sz w:val="24"/>
                <w:szCs w:val="24"/>
                <w:lang w:eastAsia="en-GB"/>
              </w:rPr>
              <w:t xml:space="preserve">%age point </w:t>
            </w:r>
            <w:r>
              <w:rPr>
                <w:rFonts w:ascii="Calibri" w:eastAsia="Times New Roman" w:hAnsi="Calibri" w:cs="Calibri"/>
                <w:sz w:val="24"/>
                <w:szCs w:val="24"/>
                <w:lang w:eastAsia="en-GB"/>
              </w:rPr>
              <w:t>difference</w:t>
            </w:r>
          </w:p>
        </w:tc>
      </w:tr>
      <w:tr w:rsidR="00620798" w:rsidRPr="00165B05" w14:paraId="7965E2CE" w14:textId="77777777" w:rsidTr="00FD1025">
        <w:tc>
          <w:tcPr>
            <w:tcW w:w="3539" w:type="dxa"/>
          </w:tcPr>
          <w:p w14:paraId="0D1ADED4" w14:textId="77777777" w:rsidR="00620798" w:rsidRPr="00687421" w:rsidRDefault="00620798" w:rsidP="00FD1025">
            <w:pPr>
              <w:rPr>
                <w:rFonts w:ascii="Calibri" w:hAnsi="Calibri" w:cs="Calibri"/>
                <w:b/>
                <w:bCs/>
                <w:sz w:val="24"/>
                <w:szCs w:val="24"/>
              </w:rPr>
            </w:pPr>
            <w:r>
              <w:rPr>
                <w:rFonts w:ascii="Calibri" w:hAnsi="Calibri" w:cs="Calibri"/>
                <w:b/>
                <w:bCs/>
                <w:sz w:val="24"/>
                <w:szCs w:val="24"/>
              </w:rPr>
              <w:t>UK</w:t>
            </w:r>
          </w:p>
        </w:tc>
        <w:tc>
          <w:tcPr>
            <w:tcW w:w="1611" w:type="dxa"/>
          </w:tcPr>
          <w:p w14:paraId="5AE31234" w14:textId="77777777" w:rsidR="00620798" w:rsidRPr="00687421" w:rsidRDefault="00620798" w:rsidP="00FD1025">
            <w:pPr>
              <w:tabs>
                <w:tab w:val="decimal" w:pos="552"/>
              </w:tabs>
              <w:rPr>
                <w:rFonts w:ascii="Calibri" w:hAnsi="Calibri" w:cs="Calibri"/>
                <w:b/>
                <w:bCs/>
                <w:sz w:val="24"/>
                <w:szCs w:val="24"/>
              </w:rPr>
            </w:pPr>
            <w:r>
              <w:rPr>
                <w:rFonts w:ascii="Calibri" w:hAnsi="Calibri" w:cs="Calibri"/>
                <w:b/>
                <w:bCs/>
                <w:sz w:val="24"/>
                <w:szCs w:val="24"/>
              </w:rPr>
              <w:t>30</w:t>
            </w:r>
            <w:r w:rsidRPr="00687421">
              <w:rPr>
                <w:rFonts w:ascii="Calibri" w:hAnsi="Calibri" w:cs="Calibri"/>
                <w:b/>
                <w:bCs/>
                <w:sz w:val="24"/>
                <w:szCs w:val="24"/>
              </w:rPr>
              <w:t>%</w:t>
            </w:r>
          </w:p>
        </w:tc>
        <w:tc>
          <w:tcPr>
            <w:tcW w:w="1612" w:type="dxa"/>
          </w:tcPr>
          <w:p w14:paraId="543E2EA7" w14:textId="77777777" w:rsidR="00620798" w:rsidRPr="00687421" w:rsidRDefault="00620798" w:rsidP="00FD1025">
            <w:pPr>
              <w:tabs>
                <w:tab w:val="decimal" w:pos="702"/>
              </w:tabs>
              <w:rPr>
                <w:rFonts w:ascii="Calibri" w:hAnsi="Calibri" w:cs="Calibri"/>
                <w:b/>
                <w:bCs/>
                <w:sz w:val="24"/>
                <w:szCs w:val="24"/>
              </w:rPr>
            </w:pPr>
            <w:r>
              <w:rPr>
                <w:rFonts w:ascii="Calibri" w:hAnsi="Calibri" w:cs="Calibri"/>
                <w:b/>
                <w:bCs/>
                <w:sz w:val="24"/>
                <w:szCs w:val="24"/>
              </w:rPr>
              <w:t>2</w:t>
            </w:r>
            <w:r w:rsidRPr="00687421">
              <w:rPr>
                <w:rFonts w:ascii="Calibri" w:hAnsi="Calibri" w:cs="Calibri"/>
                <w:b/>
                <w:bCs/>
                <w:sz w:val="24"/>
                <w:szCs w:val="24"/>
              </w:rPr>
              <w:t>0%</w:t>
            </w:r>
          </w:p>
        </w:tc>
        <w:tc>
          <w:tcPr>
            <w:tcW w:w="2254" w:type="dxa"/>
          </w:tcPr>
          <w:p w14:paraId="7090ADBB" w14:textId="77777777" w:rsidR="00620798" w:rsidRPr="00687421" w:rsidRDefault="00620798" w:rsidP="00FD1025">
            <w:pPr>
              <w:tabs>
                <w:tab w:val="decimal" w:pos="935"/>
              </w:tabs>
              <w:rPr>
                <w:rFonts w:ascii="Calibri" w:hAnsi="Calibri" w:cs="Calibri"/>
                <w:b/>
                <w:bCs/>
                <w:sz w:val="24"/>
                <w:szCs w:val="24"/>
              </w:rPr>
            </w:pPr>
            <w:r>
              <w:rPr>
                <w:rFonts w:ascii="Calibri" w:eastAsia="Times New Roman" w:hAnsi="Calibri" w:cs="Calibri"/>
                <w:b/>
                <w:bCs/>
                <w:sz w:val="24"/>
                <w:szCs w:val="24"/>
                <w:lang w:eastAsia="en-GB"/>
              </w:rPr>
              <w:t>10</w:t>
            </w:r>
            <w:r w:rsidRPr="00687421">
              <w:rPr>
                <w:rFonts w:ascii="Calibri" w:eastAsia="Times New Roman" w:hAnsi="Calibri" w:cs="Calibri"/>
                <w:b/>
                <w:bCs/>
                <w:sz w:val="24"/>
                <w:szCs w:val="24"/>
                <w:lang w:eastAsia="en-GB"/>
              </w:rPr>
              <w:t>%</w:t>
            </w:r>
          </w:p>
        </w:tc>
      </w:tr>
      <w:tr w:rsidR="00620798" w:rsidRPr="00165B05" w14:paraId="7C325B19" w14:textId="77777777" w:rsidTr="00FD1025">
        <w:tc>
          <w:tcPr>
            <w:tcW w:w="3539" w:type="dxa"/>
            <w:vAlign w:val="bottom"/>
          </w:tcPr>
          <w:p w14:paraId="54BAED0C" w14:textId="77777777" w:rsidR="00620798" w:rsidRPr="00651CA4" w:rsidRDefault="00620798" w:rsidP="00FD1025">
            <w:pPr>
              <w:rPr>
                <w:rFonts w:ascii="Calibri" w:hAnsi="Calibri" w:cs="Calibri"/>
                <w:sz w:val="24"/>
                <w:szCs w:val="24"/>
              </w:rPr>
            </w:pPr>
            <w:r>
              <w:rPr>
                <w:rFonts w:ascii="Arial" w:hAnsi="Arial" w:cs="Arial"/>
                <w:sz w:val="20"/>
                <w:szCs w:val="20"/>
              </w:rPr>
              <w:t xml:space="preserve">Bethnal Green and Bow </w:t>
            </w:r>
          </w:p>
        </w:tc>
        <w:tc>
          <w:tcPr>
            <w:tcW w:w="1611" w:type="dxa"/>
            <w:vAlign w:val="bottom"/>
          </w:tcPr>
          <w:p w14:paraId="2224DB13" w14:textId="77777777" w:rsidR="00620798" w:rsidRPr="00651CA4" w:rsidRDefault="00620798" w:rsidP="00FD1025">
            <w:pPr>
              <w:tabs>
                <w:tab w:val="decimal" w:pos="552"/>
              </w:tabs>
              <w:rPr>
                <w:rFonts w:ascii="Calibri" w:hAnsi="Calibri" w:cs="Calibri"/>
                <w:sz w:val="24"/>
                <w:szCs w:val="24"/>
              </w:rPr>
            </w:pPr>
            <w:r>
              <w:rPr>
                <w:rFonts w:ascii="Arial" w:hAnsi="Arial" w:cs="Arial"/>
                <w:sz w:val="20"/>
                <w:szCs w:val="20"/>
              </w:rPr>
              <w:t>60.6%</w:t>
            </w:r>
          </w:p>
        </w:tc>
        <w:tc>
          <w:tcPr>
            <w:tcW w:w="1612" w:type="dxa"/>
            <w:vAlign w:val="bottom"/>
          </w:tcPr>
          <w:p w14:paraId="7AF52916" w14:textId="77777777" w:rsidR="00620798" w:rsidRPr="00651CA4" w:rsidRDefault="00620798" w:rsidP="00FD1025">
            <w:pPr>
              <w:tabs>
                <w:tab w:val="decimal" w:pos="702"/>
              </w:tabs>
              <w:rPr>
                <w:rFonts w:ascii="Calibri" w:hAnsi="Calibri" w:cs="Calibri"/>
                <w:sz w:val="24"/>
                <w:szCs w:val="24"/>
              </w:rPr>
            </w:pPr>
            <w:r>
              <w:rPr>
                <w:rFonts w:ascii="Arial" w:hAnsi="Arial" w:cs="Arial"/>
                <w:sz w:val="20"/>
                <w:szCs w:val="20"/>
              </w:rPr>
              <w:t>30.1%</w:t>
            </w:r>
          </w:p>
        </w:tc>
        <w:tc>
          <w:tcPr>
            <w:tcW w:w="2254" w:type="dxa"/>
            <w:vAlign w:val="bottom"/>
          </w:tcPr>
          <w:p w14:paraId="2A36323F" w14:textId="77777777" w:rsidR="00620798" w:rsidRPr="006F34AC" w:rsidRDefault="00620798" w:rsidP="00FD1025">
            <w:pPr>
              <w:tabs>
                <w:tab w:val="decimal" w:pos="935"/>
              </w:tabs>
              <w:rPr>
                <w:rFonts w:ascii="Calibri" w:hAnsi="Calibri" w:cs="Calibri"/>
                <w:b/>
                <w:bCs/>
                <w:sz w:val="24"/>
                <w:szCs w:val="24"/>
              </w:rPr>
            </w:pPr>
            <w:r>
              <w:rPr>
                <w:rFonts w:ascii="Arial" w:hAnsi="Arial" w:cs="Arial"/>
                <w:sz w:val="20"/>
                <w:szCs w:val="20"/>
              </w:rPr>
              <w:t>30.5%</w:t>
            </w:r>
          </w:p>
        </w:tc>
      </w:tr>
      <w:tr w:rsidR="00620798" w:rsidRPr="00165B05" w14:paraId="3D994995" w14:textId="77777777" w:rsidTr="00FD1025">
        <w:tc>
          <w:tcPr>
            <w:tcW w:w="3539" w:type="dxa"/>
            <w:vAlign w:val="bottom"/>
          </w:tcPr>
          <w:p w14:paraId="32DDC179" w14:textId="77777777" w:rsidR="00620798" w:rsidRPr="00651CA4" w:rsidRDefault="00620798" w:rsidP="00FD1025">
            <w:pPr>
              <w:rPr>
                <w:rFonts w:ascii="Calibri" w:hAnsi="Calibri" w:cs="Calibri"/>
                <w:sz w:val="24"/>
                <w:szCs w:val="24"/>
              </w:rPr>
            </w:pPr>
            <w:r>
              <w:rPr>
                <w:rFonts w:ascii="Arial" w:hAnsi="Arial" w:cs="Arial"/>
                <w:sz w:val="20"/>
                <w:szCs w:val="20"/>
              </w:rPr>
              <w:t xml:space="preserve">Hackney South and Shoreditch </w:t>
            </w:r>
          </w:p>
        </w:tc>
        <w:tc>
          <w:tcPr>
            <w:tcW w:w="1611" w:type="dxa"/>
            <w:vAlign w:val="bottom"/>
          </w:tcPr>
          <w:p w14:paraId="00540E4F" w14:textId="77777777" w:rsidR="00620798" w:rsidRPr="00651CA4" w:rsidRDefault="00620798" w:rsidP="00FD1025">
            <w:pPr>
              <w:tabs>
                <w:tab w:val="decimal" w:pos="552"/>
              </w:tabs>
              <w:rPr>
                <w:rFonts w:ascii="Calibri" w:hAnsi="Calibri" w:cs="Calibri"/>
                <w:sz w:val="24"/>
                <w:szCs w:val="24"/>
              </w:rPr>
            </w:pPr>
            <w:r>
              <w:rPr>
                <w:rFonts w:ascii="Arial" w:hAnsi="Arial" w:cs="Arial"/>
                <w:sz w:val="20"/>
                <w:szCs w:val="20"/>
              </w:rPr>
              <w:t>52.0%</w:t>
            </w:r>
          </w:p>
        </w:tc>
        <w:tc>
          <w:tcPr>
            <w:tcW w:w="1612" w:type="dxa"/>
            <w:vAlign w:val="bottom"/>
          </w:tcPr>
          <w:p w14:paraId="33B5ADE3" w14:textId="77777777" w:rsidR="00620798" w:rsidRPr="00651CA4" w:rsidRDefault="00620798" w:rsidP="00FD1025">
            <w:pPr>
              <w:tabs>
                <w:tab w:val="decimal" w:pos="702"/>
              </w:tabs>
              <w:rPr>
                <w:rFonts w:ascii="Calibri" w:hAnsi="Calibri" w:cs="Calibri"/>
                <w:sz w:val="24"/>
                <w:szCs w:val="24"/>
              </w:rPr>
            </w:pPr>
            <w:r>
              <w:rPr>
                <w:rFonts w:ascii="Arial" w:hAnsi="Arial" w:cs="Arial"/>
                <w:sz w:val="20"/>
                <w:szCs w:val="20"/>
              </w:rPr>
              <w:t>23.9%</w:t>
            </w:r>
          </w:p>
        </w:tc>
        <w:tc>
          <w:tcPr>
            <w:tcW w:w="2254" w:type="dxa"/>
            <w:vAlign w:val="bottom"/>
          </w:tcPr>
          <w:p w14:paraId="5BDCB85A" w14:textId="77777777" w:rsidR="00620798" w:rsidRPr="006F34AC" w:rsidRDefault="00620798" w:rsidP="00FD1025">
            <w:pPr>
              <w:tabs>
                <w:tab w:val="decimal" w:pos="935"/>
              </w:tabs>
              <w:rPr>
                <w:rFonts w:ascii="Calibri" w:hAnsi="Calibri" w:cs="Calibri"/>
                <w:b/>
                <w:bCs/>
                <w:sz w:val="24"/>
                <w:szCs w:val="24"/>
              </w:rPr>
            </w:pPr>
            <w:r>
              <w:rPr>
                <w:rFonts w:ascii="Arial" w:hAnsi="Arial" w:cs="Arial"/>
                <w:sz w:val="20"/>
                <w:szCs w:val="20"/>
              </w:rPr>
              <w:t>28.1%</w:t>
            </w:r>
          </w:p>
        </w:tc>
      </w:tr>
      <w:tr w:rsidR="00620798" w:rsidRPr="00165B05" w14:paraId="64AAFF0F" w14:textId="77777777" w:rsidTr="00FD1025">
        <w:tc>
          <w:tcPr>
            <w:tcW w:w="3539" w:type="dxa"/>
            <w:vAlign w:val="bottom"/>
          </w:tcPr>
          <w:p w14:paraId="3CA8C0C1" w14:textId="77777777" w:rsidR="00620798" w:rsidRPr="00651CA4" w:rsidRDefault="00620798" w:rsidP="00FD1025">
            <w:pPr>
              <w:rPr>
                <w:rFonts w:ascii="Calibri" w:hAnsi="Calibri" w:cs="Calibri"/>
                <w:sz w:val="24"/>
                <w:szCs w:val="24"/>
              </w:rPr>
            </w:pPr>
            <w:r>
              <w:rPr>
                <w:rFonts w:ascii="Arial" w:hAnsi="Arial" w:cs="Arial"/>
                <w:sz w:val="20"/>
                <w:szCs w:val="20"/>
              </w:rPr>
              <w:t xml:space="preserve">Bermondsey and Old Southwark </w:t>
            </w:r>
          </w:p>
        </w:tc>
        <w:tc>
          <w:tcPr>
            <w:tcW w:w="1611" w:type="dxa"/>
            <w:vAlign w:val="bottom"/>
          </w:tcPr>
          <w:p w14:paraId="30F78DF9" w14:textId="77777777" w:rsidR="00620798" w:rsidRPr="00651CA4" w:rsidRDefault="00620798" w:rsidP="00FD1025">
            <w:pPr>
              <w:tabs>
                <w:tab w:val="decimal" w:pos="552"/>
              </w:tabs>
              <w:rPr>
                <w:rFonts w:ascii="Calibri" w:hAnsi="Calibri" w:cs="Calibri"/>
                <w:sz w:val="24"/>
                <w:szCs w:val="24"/>
              </w:rPr>
            </w:pPr>
            <w:r>
              <w:rPr>
                <w:rFonts w:ascii="Arial" w:hAnsi="Arial" w:cs="Arial"/>
                <w:sz w:val="20"/>
                <w:szCs w:val="20"/>
              </w:rPr>
              <w:t>50.3%</w:t>
            </w:r>
          </w:p>
        </w:tc>
        <w:tc>
          <w:tcPr>
            <w:tcW w:w="1612" w:type="dxa"/>
            <w:vAlign w:val="bottom"/>
          </w:tcPr>
          <w:p w14:paraId="240E457A" w14:textId="77777777" w:rsidR="00620798" w:rsidRPr="00651CA4" w:rsidRDefault="00620798" w:rsidP="00FD1025">
            <w:pPr>
              <w:tabs>
                <w:tab w:val="decimal" w:pos="702"/>
              </w:tabs>
              <w:rPr>
                <w:rFonts w:ascii="Calibri" w:hAnsi="Calibri" w:cs="Calibri"/>
                <w:sz w:val="24"/>
                <w:szCs w:val="24"/>
              </w:rPr>
            </w:pPr>
            <w:r>
              <w:rPr>
                <w:rFonts w:ascii="Arial" w:hAnsi="Arial" w:cs="Arial"/>
                <w:sz w:val="20"/>
                <w:szCs w:val="20"/>
              </w:rPr>
              <w:t>22.3%</w:t>
            </w:r>
          </w:p>
        </w:tc>
        <w:tc>
          <w:tcPr>
            <w:tcW w:w="2254" w:type="dxa"/>
            <w:vAlign w:val="bottom"/>
          </w:tcPr>
          <w:p w14:paraId="528C1FC1" w14:textId="77777777" w:rsidR="00620798" w:rsidRPr="006F34AC" w:rsidRDefault="00620798" w:rsidP="00FD1025">
            <w:pPr>
              <w:tabs>
                <w:tab w:val="decimal" w:pos="935"/>
              </w:tabs>
              <w:rPr>
                <w:rFonts w:ascii="Calibri" w:hAnsi="Calibri" w:cs="Calibri"/>
                <w:b/>
                <w:bCs/>
                <w:sz w:val="24"/>
                <w:szCs w:val="24"/>
              </w:rPr>
            </w:pPr>
            <w:r>
              <w:rPr>
                <w:rFonts w:ascii="Arial" w:hAnsi="Arial" w:cs="Arial"/>
                <w:sz w:val="20"/>
                <w:szCs w:val="20"/>
              </w:rPr>
              <w:t>28.0%</w:t>
            </w:r>
          </w:p>
        </w:tc>
      </w:tr>
      <w:tr w:rsidR="00620798" w:rsidRPr="00165B05" w14:paraId="5F63EF3E" w14:textId="77777777" w:rsidTr="00FD1025">
        <w:tc>
          <w:tcPr>
            <w:tcW w:w="3539" w:type="dxa"/>
            <w:vAlign w:val="bottom"/>
          </w:tcPr>
          <w:p w14:paraId="0F07DB63" w14:textId="77777777" w:rsidR="00620798" w:rsidRPr="00651CA4" w:rsidRDefault="00620798" w:rsidP="00FD1025">
            <w:pPr>
              <w:rPr>
                <w:rFonts w:ascii="Calibri" w:hAnsi="Calibri" w:cs="Calibri"/>
                <w:sz w:val="24"/>
                <w:szCs w:val="24"/>
              </w:rPr>
            </w:pPr>
            <w:r>
              <w:rPr>
                <w:rFonts w:ascii="Arial" w:hAnsi="Arial" w:cs="Arial"/>
                <w:sz w:val="20"/>
                <w:szCs w:val="20"/>
              </w:rPr>
              <w:t xml:space="preserve">Holborn and St Pancras  </w:t>
            </w:r>
          </w:p>
        </w:tc>
        <w:tc>
          <w:tcPr>
            <w:tcW w:w="1611" w:type="dxa"/>
            <w:vAlign w:val="bottom"/>
          </w:tcPr>
          <w:p w14:paraId="3B781EE3" w14:textId="77777777" w:rsidR="00620798" w:rsidRPr="00651CA4" w:rsidRDefault="00620798" w:rsidP="00FD1025">
            <w:pPr>
              <w:tabs>
                <w:tab w:val="decimal" w:pos="552"/>
              </w:tabs>
              <w:rPr>
                <w:rFonts w:ascii="Calibri" w:hAnsi="Calibri" w:cs="Calibri"/>
                <w:sz w:val="24"/>
                <w:szCs w:val="24"/>
              </w:rPr>
            </w:pPr>
            <w:r>
              <w:rPr>
                <w:rFonts w:ascii="Arial" w:hAnsi="Arial" w:cs="Arial"/>
                <w:sz w:val="20"/>
                <w:szCs w:val="20"/>
              </w:rPr>
              <w:t>47.9%</w:t>
            </w:r>
          </w:p>
        </w:tc>
        <w:tc>
          <w:tcPr>
            <w:tcW w:w="1612" w:type="dxa"/>
            <w:vAlign w:val="bottom"/>
          </w:tcPr>
          <w:p w14:paraId="0A45AD9B" w14:textId="77777777" w:rsidR="00620798" w:rsidRPr="00651CA4" w:rsidRDefault="00620798" w:rsidP="00FD1025">
            <w:pPr>
              <w:tabs>
                <w:tab w:val="decimal" w:pos="702"/>
              </w:tabs>
              <w:rPr>
                <w:rFonts w:ascii="Calibri" w:hAnsi="Calibri" w:cs="Calibri"/>
                <w:sz w:val="24"/>
                <w:szCs w:val="24"/>
              </w:rPr>
            </w:pPr>
            <w:r>
              <w:rPr>
                <w:rFonts w:ascii="Arial" w:hAnsi="Arial" w:cs="Arial"/>
                <w:sz w:val="20"/>
                <w:szCs w:val="20"/>
              </w:rPr>
              <w:t>19.9%</w:t>
            </w:r>
          </w:p>
        </w:tc>
        <w:tc>
          <w:tcPr>
            <w:tcW w:w="2254" w:type="dxa"/>
            <w:vAlign w:val="bottom"/>
          </w:tcPr>
          <w:p w14:paraId="2E21BD32" w14:textId="77777777" w:rsidR="00620798" w:rsidRPr="006F34AC" w:rsidRDefault="00620798" w:rsidP="00FD1025">
            <w:pPr>
              <w:tabs>
                <w:tab w:val="decimal" w:pos="935"/>
              </w:tabs>
              <w:rPr>
                <w:rFonts w:ascii="Calibri" w:hAnsi="Calibri" w:cs="Calibri"/>
                <w:b/>
                <w:bCs/>
                <w:sz w:val="24"/>
                <w:szCs w:val="24"/>
              </w:rPr>
            </w:pPr>
            <w:r>
              <w:rPr>
                <w:rFonts w:ascii="Arial" w:hAnsi="Arial" w:cs="Arial"/>
                <w:sz w:val="20"/>
                <w:szCs w:val="20"/>
              </w:rPr>
              <w:t>28.0%</w:t>
            </w:r>
          </w:p>
        </w:tc>
      </w:tr>
      <w:tr w:rsidR="00620798" w:rsidRPr="00165B05" w14:paraId="06AFAE1C" w14:textId="77777777" w:rsidTr="00FD1025">
        <w:tc>
          <w:tcPr>
            <w:tcW w:w="3539" w:type="dxa"/>
            <w:vAlign w:val="bottom"/>
          </w:tcPr>
          <w:p w14:paraId="17DE13B0" w14:textId="77777777" w:rsidR="00620798" w:rsidRPr="00651CA4" w:rsidRDefault="00620798" w:rsidP="00FD1025">
            <w:pPr>
              <w:rPr>
                <w:rFonts w:ascii="Calibri" w:hAnsi="Calibri" w:cs="Calibri"/>
                <w:sz w:val="24"/>
                <w:szCs w:val="24"/>
              </w:rPr>
            </w:pPr>
            <w:r>
              <w:rPr>
                <w:rFonts w:ascii="Arial" w:hAnsi="Arial" w:cs="Arial"/>
                <w:sz w:val="20"/>
                <w:szCs w:val="20"/>
              </w:rPr>
              <w:t xml:space="preserve">Vauxhall </w:t>
            </w:r>
          </w:p>
        </w:tc>
        <w:tc>
          <w:tcPr>
            <w:tcW w:w="1611" w:type="dxa"/>
            <w:vAlign w:val="bottom"/>
          </w:tcPr>
          <w:p w14:paraId="3DA60B93" w14:textId="77777777" w:rsidR="00620798" w:rsidRPr="00651CA4" w:rsidRDefault="00620798" w:rsidP="00FD1025">
            <w:pPr>
              <w:tabs>
                <w:tab w:val="decimal" w:pos="552"/>
              </w:tabs>
              <w:rPr>
                <w:rFonts w:ascii="Calibri" w:hAnsi="Calibri" w:cs="Calibri"/>
                <w:sz w:val="24"/>
                <w:szCs w:val="24"/>
              </w:rPr>
            </w:pPr>
            <w:r>
              <w:rPr>
                <w:rFonts w:ascii="Arial" w:hAnsi="Arial" w:cs="Arial"/>
                <w:sz w:val="20"/>
                <w:szCs w:val="20"/>
              </w:rPr>
              <w:t>49.7%</w:t>
            </w:r>
          </w:p>
        </w:tc>
        <w:tc>
          <w:tcPr>
            <w:tcW w:w="1612" w:type="dxa"/>
            <w:vAlign w:val="bottom"/>
          </w:tcPr>
          <w:p w14:paraId="2616C891" w14:textId="77777777" w:rsidR="00620798" w:rsidRPr="00651CA4" w:rsidRDefault="00620798" w:rsidP="00FD1025">
            <w:pPr>
              <w:tabs>
                <w:tab w:val="decimal" w:pos="702"/>
              </w:tabs>
              <w:rPr>
                <w:rFonts w:ascii="Calibri" w:hAnsi="Calibri" w:cs="Calibri"/>
                <w:sz w:val="24"/>
                <w:szCs w:val="24"/>
              </w:rPr>
            </w:pPr>
            <w:r>
              <w:rPr>
                <w:rFonts w:ascii="Arial" w:hAnsi="Arial" w:cs="Arial"/>
                <w:sz w:val="20"/>
                <w:szCs w:val="20"/>
              </w:rPr>
              <w:t>22.2%</w:t>
            </w:r>
          </w:p>
        </w:tc>
        <w:tc>
          <w:tcPr>
            <w:tcW w:w="2254" w:type="dxa"/>
            <w:vAlign w:val="bottom"/>
          </w:tcPr>
          <w:p w14:paraId="53192510" w14:textId="77777777" w:rsidR="00620798" w:rsidRPr="006F34AC" w:rsidRDefault="00620798" w:rsidP="00FD1025">
            <w:pPr>
              <w:tabs>
                <w:tab w:val="decimal" w:pos="935"/>
              </w:tabs>
              <w:rPr>
                <w:rFonts w:ascii="Calibri" w:hAnsi="Calibri" w:cs="Calibri"/>
                <w:b/>
                <w:bCs/>
                <w:sz w:val="24"/>
                <w:szCs w:val="24"/>
              </w:rPr>
            </w:pPr>
            <w:r>
              <w:rPr>
                <w:rFonts w:ascii="Arial" w:hAnsi="Arial" w:cs="Arial"/>
                <w:sz w:val="20"/>
                <w:szCs w:val="20"/>
              </w:rPr>
              <w:t>27.5%</w:t>
            </w:r>
          </w:p>
        </w:tc>
      </w:tr>
      <w:tr w:rsidR="00620798" w:rsidRPr="00165B05" w14:paraId="6EAA40CA" w14:textId="77777777" w:rsidTr="00FD1025">
        <w:tc>
          <w:tcPr>
            <w:tcW w:w="3539" w:type="dxa"/>
            <w:vAlign w:val="bottom"/>
          </w:tcPr>
          <w:p w14:paraId="1CB70CBD" w14:textId="77777777" w:rsidR="00620798" w:rsidRPr="00651CA4" w:rsidRDefault="00620798" w:rsidP="00FD1025">
            <w:pPr>
              <w:rPr>
                <w:rFonts w:ascii="Calibri" w:hAnsi="Calibri" w:cs="Calibri"/>
                <w:sz w:val="24"/>
                <w:szCs w:val="24"/>
              </w:rPr>
            </w:pPr>
            <w:r>
              <w:rPr>
                <w:rFonts w:ascii="Arial" w:hAnsi="Arial" w:cs="Arial"/>
                <w:sz w:val="20"/>
                <w:szCs w:val="20"/>
              </w:rPr>
              <w:t xml:space="preserve">Poplar and Limehouse </w:t>
            </w:r>
          </w:p>
        </w:tc>
        <w:tc>
          <w:tcPr>
            <w:tcW w:w="1611" w:type="dxa"/>
            <w:vAlign w:val="bottom"/>
          </w:tcPr>
          <w:p w14:paraId="35707AB7" w14:textId="77777777" w:rsidR="00620798" w:rsidRPr="00651CA4" w:rsidRDefault="00620798" w:rsidP="00FD1025">
            <w:pPr>
              <w:tabs>
                <w:tab w:val="decimal" w:pos="552"/>
              </w:tabs>
              <w:rPr>
                <w:rFonts w:ascii="Calibri" w:hAnsi="Calibri" w:cs="Calibri"/>
                <w:sz w:val="24"/>
                <w:szCs w:val="24"/>
              </w:rPr>
            </w:pPr>
            <w:r>
              <w:rPr>
                <w:rFonts w:ascii="Arial" w:hAnsi="Arial" w:cs="Arial"/>
                <w:sz w:val="20"/>
                <w:szCs w:val="20"/>
              </w:rPr>
              <w:t>52.4%</w:t>
            </w:r>
          </w:p>
        </w:tc>
        <w:tc>
          <w:tcPr>
            <w:tcW w:w="1612" w:type="dxa"/>
            <w:vAlign w:val="bottom"/>
          </w:tcPr>
          <w:p w14:paraId="37207FF8" w14:textId="77777777" w:rsidR="00620798" w:rsidRPr="00651CA4" w:rsidRDefault="00620798" w:rsidP="00FD1025">
            <w:pPr>
              <w:tabs>
                <w:tab w:val="decimal" w:pos="702"/>
              </w:tabs>
              <w:rPr>
                <w:rFonts w:ascii="Calibri" w:hAnsi="Calibri" w:cs="Calibri"/>
                <w:sz w:val="24"/>
                <w:szCs w:val="24"/>
              </w:rPr>
            </w:pPr>
            <w:r>
              <w:rPr>
                <w:rFonts w:ascii="Arial" w:hAnsi="Arial" w:cs="Arial"/>
                <w:sz w:val="20"/>
                <w:szCs w:val="20"/>
              </w:rPr>
              <w:t>25.1%</w:t>
            </w:r>
          </w:p>
        </w:tc>
        <w:tc>
          <w:tcPr>
            <w:tcW w:w="2254" w:type="dxa"/>
            <w:vAlign w:val="bottom"/>
          </w:tcPr>
          <w:p w14:paraId="74DA1D7D" w14:textId="77777777" w:rsidR="00620798" w:rsidRPr="006F34AC" w:rsidRDefault="00620798" w:rsidP="00FD1025">
            <w:pPr>
              <w:tabs>
                <w:tab w:val="decimal" w:pos="935"/>
              </w:tabs>
              <w:rPr>
                <w:rFonts w:ascii="Calibri" w:hAnsi="Calibri" w:cs="Calibri"/>
                <w:b/>
                <w:bCs/>
                <w:sz w:val="24"/>
                <w:szCs w:val="24"/>
              </w:rPr>
            </w:pPr>
            <w:r>
              <w:rPr>
                <w:rFonts w:ascii="Arial" w:hAnsi="Arial" w:cs="Arial"/>
                <w:sz w:val="20"/>
                <w:szCs w:val="20"/>
              </w:rPr>
              <w:t>27.3%</w:t>
            </w:r>
          </w:p>
        </w:tc>
      </w:tr>
      <w:tr w:rsidR="00620798" w:rsidRPr="00165B05" w14:paraId="7203C253" w14:textId="77777777" w:rsidTr="00FD1025">
        <w:tc>
          <w:tcPr>
            <w:tcW w:w="3539" w:type="dxa"/>
            <w:vAlign w:val="bottom"/>
          </w:tcPr>
          <w:p w14:paraId="1484734E" w14:textId="77777777" w:rsidR="00620798" w:rsidRPr="00651CA4" w:rsidRDefault="00620798" w:rsidP="00FD1025">
            <w:pPr>
              <w:rPr>
                <w:rFonts w:ascii="Calibri" w:hAnsi="Calibri" w:cs="Calibri"/>
                <w:sz w:val="24"/>
                <w:szCs w:val="24"/>
              </w:rPr>
            </w:pPr>
            <w:r>
              <w:rPr>
                <w:rFonts w:ascii="Arial" w:hAnsi="Arial" w:cs="Arial"/>
                <w:sz w:val="20"/>
                <w:szCs w:val="20"/>
              </w:rPr>
              <w:t>Islington South and Finsbury</w:t>
            </w:r>
          </w:p>
        </w:tc>
        <w:tc>
          <w:tcPr>
            <w:tcW w:w="1611" w:type="dxa"/>
            <w:vAlign w:val="bottom"/>
          </w:tcPr>
          <w:p w14:paraId="38483CCC" w14:textId="77777777" w:rsidR="00620798" w:rsidRPr="00651CA4" w:rsidRDefault="00620798" w:rsidP="00FD1025">
            <w:pPr>
              <w:tabs>
                <w:tab w:val="decimal" w:pos="552"/>
              </w:tabs>
              <w:rPr>
                <w:rFonts w:ascii="Calibri" w:hAnsi="Calibri" w:cs="Calibri"/>
                <w:sz w:val="24"/>
                <w:szCs w:val="24"/>
              </w:rPr>
            </w:pPr>
            <w:r>
              <w:rPr>
                <w:rFonts w:ascii="Arial" w:hAnsi="Arial" w:cs="Arial"/>
                <w:sz w:val="20"/>
                <w:szCs w:val="20"/>
              </w:rPr>
              <w:t>46.2%</w:t>
            </w:r>
          </w:p>
        </w:tc>
        <w:tc>
          <w:tcPr>
            <w:tcW w:w="1612" w:type="dxa"/>
            <w:vAlign w:val="bottom"/>
          </w:tcPr>
          <w:p w14:paraId="46512032" w14:textId="77777777" w:rsidR="00620798" w:rsidRPr="00651CA4" w:rsidRDefault="00620798" w:rsidP="00FD1025">
            <w:pPr>
              <w:tabs>
                <w:tab w:val="decimal" w:pos="702"/>
              </w:tabs>
              <w:rPr>
                <w:rFonts w:ascii="Calibri" w:hAnsi="Calibri" w:cs="Calibri"/>
                <w:sz w:val="24"/>
                <w:szCs w:val="24"/>
              </w:rPr>
            </w:pPr>
            <w:r>
              <w:rPr>
                <w:rFonts w:ascii="Arial" w:hAnsi="Arial" w:cs="Arial"/>
                <w:sz w:val="20"/>
                <w:szCs w:val="20"/>
              </w:rPr>
              <w:t>19.4%</w:t>
            </w:r>
          </w:p>
        </w:tc>
        <w:tc>
          <w:tcPr>
            <w:tcW w:w="2254" w:type="dxa"/>
            <w:vAlign w:val="bottom"/>
          </w:tcPr>
          <w:p w14:paraId="314CFFF2" w14:textId="77777777" w:rsidR="00620798" w:rsidRPr="006F34AC" w:rsidRDefault="00620798" w:rsidP="00FD1025">
            <w:pPr>
              <w:tabs>
                <w:tab w:val="decimal" w:pos="935"/>
              </w:tabs>
              <w:rPr>
                <w:rFonts w:ascii="Calibri" w:hAnsi="Calibri" w:cs="Calibri"/>
                <w:b/>
                <w:bCs/>
                <w:sz w:val="24"/>
                <w:szCs w:val="24"/>
              </w:rPr>
            </w:pPr>
            <w:r>
              <w:rPr>
                <w:rFonts w:ascii="Arial" w:hAnsi="Arial" w:cs="Arial"/>
                <w:sz w:val="20"/>
                <w:szCs w:val="20"/>
              </w:rPr>
              <w:t>26.8%</w:t>
            </w:r>
          </w:p>
        </w:tc>
      </w:tr>
      <w:tr w:rsidR="00620798" w:rsidRPr="00165B05" w14:paraId="2440F0EC" w14:textId="77777777" w:rsidTr="00FD1025">
        <w:tc>
          <w:tcPr>
            <w:tcW w:w="3539" w:type="dxa"/>
            <w:vAlign w:val="bottom"/>
          </w:tcPr>
          <w:p w14:paraId="1542DB12" w14:textId="77777777" w:rsidR="00620798" w:rsidRPr="00651CA4" w:rsidRDefault="00620798" w:rsidP="00FD1025">
            <w:pPr>
              <w:rPr>
                <w:rFonts w:ascii="Calibri" w:eastAsia="Times New Roman" w:hAnsi="Calibri" w:cs="Calibri"/>
                <w:sz w:val="24"/>
                <w:szCs w:val="24"/>
                <w:lang w:eastAsia="en-GB"/>
              </w:rPr>
            </w:pPr>
            <w:r>
              <w:rPr>
                <w:rFonts w:ascii="Arial" w:hAnsi="Arial" w:cs="Arial"/>
                <w:sz w:val="20"/>
                <w:szCs w:val="20"/>
              </w:rPr>
              <w:t xml:space="preserve">West Ham  </w:t>
            </w:r>
          </w:p>
        </w:tc>
        <w:tc>
          <w:tcPr>
            <w:tcW w:w="1611" w:type="dxa"/>
            <w:vAlign w:val="bottom"/>
          </w:tcPr>
          <w:p w14:paraId="40DB1130" w14:textId="77777777" w:rsidR="00620798" w:rsidRPr="00651CA4" w:rsidRDefault="00620798" w:rsidP="00FD1025">
            <w:pPr>
              <w:tabs>
                <w:tab w:val="decimal" w:pos="552"/>
              </w:tabs>
              <w:rPr>
                <w:rFonts w:ascii="Calibri" w:hAnsi="Calibri" w:cs="Calibri"/>
                <w:sz w:val="24"/>
                <w:szCs w:val="24"/>
              </w:rPr>
            </w:pPr>
            <w:r>
              <w:rPr>
                <w:rFonts w:ascii="Arial" w:hAnsi="Arial" w:cs="Arial"/>
                <w:sz w:val="20"/>
                <w:szCs w:val="20"/>
              </w:rPr>
              <w:t>52.5%</w:t>
            </w:r>
          </w:p>
        </w:tc>
        <w:tc>
          <w:tcPr>
            <w:tcW w:w="1612" w:type="dxa"/>
            <w:vAlign w:val="bottom"/>
          </w:tcPr>
          <w:p w14:paraId="2F2F3B80" w14:textId="77777777" w:rsidR="00620798" w:rsidRPr="00651CA4" w:rsidRDefault="00620798" w:rsidP="00FD1025">
            <w:pPr>
              <w:tabs>
                <w:tab w:val="decimal" w:pos="702"/>
              </w:tabs>
              <w:rPr>
                <w:rFonts w:ascii="Calibri" w:hAnsi="Calibri" w:cs="Calibri"/>
                <w:sz w:val="24"/>
                <w:szCs w:val="24"/>
              </w:rPr>
            </w:pPr>
            <w:r>
              <w:rPr>
                <w:rFonts w:ascii="Arial" w:hAnsi="Arial" w:cs="Arial"/>
                <w:sz w:val="20"/>
                <w:szCs w:val="20"/>
              </w:rPr>
              <w:t>25.9%</w:t>
            </w:r>
          </w:p>
        </w:tc>
        <w:tc>
          <w:tcPr>
            <w:tcW w:w="2254" w:type="dxa"/>
            <w:vAlign w:val="bottom"/>
          </w:tcPr>
          <w:p w14:paraId="420A67E7" w14:textId="77777777" w:rsidR="00620798" w:rsidRPr="006F34AC" w:rsidRDefault="00620798" w:rsidP="00FD1025">
            <w:pPr>
              <w:tabs>
                <w:tab w:val="decimal" w:pos="935"/>
              </w:tabs>
              <w:rPr>
                <w:rFonts w:ascii="Calibri" w:hAnsi="Calibri" w:cs="Calibri"/>
                <w:b/>
                <w:bCs/>
                <w:sz w:val="24"/>
                <w:szCs w:val="24"/>
              </w:rPr>
            </w:pPr>
            <w:r>
              <w:rPr>
                <w:rFonts w:ascii="Arial" w:hAnsi="Arial" w:cs="Arial"/>
                <w:sz w:val="20"/>
                <w:szCs w:val="20"/>
              </w:rPr>
              <w:t>26.6%</w:t>
            </w:r>
          </w:p>
        </w:tc>
      </w:tr>
      <w:tr w:rsidR="00620798" w:rsidRPr="00165B05" w14:paraId="694FBFEC" w14:textId="77777777" w:rsidTr="00FD1025">
        <w:tc>
          <w:tcPr>
            <w:tcW w:w="3539" w:type="dxa"/>
            <w:vAlign w:val="bottom"/>
          </w:tcPr>
          <w:p w14:paraId="6A6745B4" w14:textId="77777777" w:rsidR="00620798" w:rsidRPr="00651CA4" w:rsidRDefault="00620798" w:rsidP="00FD1025">
            <w:pPr>
              <w:rPr>
                <w:rFonts w:ascii="Calibri" w:eastAsia="Times New Roman" w:hAnsi="Calibri" w:cs="Calibri"/>
                <w:sz w:val="24"/>
                <w:szCs w:val="24"/>
                <w:lang w:eastAsia="en-GB"/>
              </w:rPr>
            </w:pPr>
            <w:r>
              <w:rPr>
                <w:rFonts w:ascii="Arial" w:hAnsi="Arial" w:cs="Arial"/>
                <w:sz w:val="20"/>
                <w:szCs w:val="20"/>
              </w:rPr>
              <w:t>Walthamstow</w:t>
            </w:r>
          </w:p>
        </w:tc>
        <w:tc>
          <w:tcPr>
            <w:tcW w:w="1611" w:type="dxa"/>
            <w:vAlign w:val="bottom"/>
          </w:tcPr>
          <w:p w14:paraId="16E9FE88" w14:textId="77777777" w:rsidR="00620798" w:rsidRPr="00651CA4" w:rsidRDefault="00620798" w:rsidP="00FD1025">
            <w:pPr>
              <w:tabs>
                <w:tab w:val="decimal" w:pos="552"/>
              </w:tabs>
              <w:rPr>
                <w:rFonts w:ascii="Calibri" w:hAnsi="Calibri" w:cs="Calibri"/>
                <w:sz w:val="24"/>
                <w:szCs w:val="24"/>
              </w:rPr>
            </w:pPr>
            <w:r>
              <w:rPr>
                <w:rFonts w:ascii="Arial" w:hAnsi="Arial" w:cs="Arial"/>
                <w:sz w:val="20"/>
                <w:szCs w:val="20"/>
              </w:rPr>
              <w:t>50.8%</w:t>
            </w:r>
          </w:p>
        </w:tc>
        <w:tc>
          <w:tcPr>
            <w:tcW w:w="1612" w:type="dxa"/>
            <w:vAlign w:val="bottom"/>
          </w:tcPr>
          <w:p w14:paraId="29D66FB7" w14:textId="77777777" w:rsidR="00620798" w:rsidRPr="00651CA4" w:rsidRDefault="00620798" w:rsidP="00FD1025">
            <w:pPr>
              <w:tabs>
                <w:tab w:val="decimal" w:pos="702"/>
              </w:tabs>
              <w:rPr>
                <w:rFonts w:ascii="Calibri" w:hAnsi="Calibri" w:cs="Calibri"/>
                <w:sz w:val="24"/>
                <w:szCs w:val="24"/>
              </w:rPr>
            </w:pPr>
            <w:r>
              <w:rPr>
                <w:rFonts w:ascii="Arial" w:hAnsi="Arial" w:cs="Arial"/>
                <w:sz w:val="20"/>
                <w:szCs w:val="20"/>
              </w:rPr>
              <w:t>24.5%</w:t>
            </w:r>
          </w:p>
        </w:tc>
        <w:tc>
          <w:tcPr>
            <w:tcW w:w="2254" w:type="dxa"/>
            <w:vAlign w:val="bottom"/>
          </w:tcPr>
          <w:p w14:paraId="22887DD3" w14:textId="77777777" w:rsidR="00620798" w:rsidRPr="006F34AC" w:rsidRDefault="00620798" w:rsidP="00FD1025">
            <w:pPr>
              <w:tabs>
                <w:tab w:val="decimal" w:pos="935"/>
              </w:tabs>
              <w:rPr>
                <w:rFonts w:ascii="Calibri" w:hAnsi="Calibri" w:cs="Calibri"/>
                <w:b/>
                <w:bCs/>
                <w:sz w:val="24"/>
                <w:szCs w:val="24"/>
              </w:rPr>
            </w:pPr>
            <w:r>
              <w:rPr>
                <w:rFonts w:ascii="Arial" w:hAnsi="Arial" w:cs="Arial"/>
                <w:sz w:val="20"/>
                <w:szCs w:val="20"/>
              </w:rPr>
              <w:t>26.3%</w:t>
            </w:r>
          </w:p>
        </w:tc>
      </w:tr>
      <w:tr w:rsidR="00620798" w:rsidRPr="00165B05" w14:paraId="14972892" w14:textId="77777777" w:rsidTr="00FD1025">
        <w:tc>
          <w:tcPr>
            <w:tcW w:w="3539" w:type="dxa"/>
            <w:vAlign w:val="bottom"/>
          </w:tcPr>
          <w:p w14:paraId="3382AA62" w14:textId="77777777" w:rsidR="00620798" w:rsidRPr="00651CA4" w:rsidRDefault="00620798" w:rsidP="00FD1025">
            <w:pPr>
              <w:rPr>
                <w:rFonts w:ascii="Calibri" w:eastAsia="Times New Roman" w:hAnsi="Calibri" w:cs="Calibri"/>
                <w:sz w:val="24"/>
                <w:szCs w:val="24"/>
                <w:lang w:eastAsia="en-GB"/>
              </w:rPr>
            </w:pPr>
            <w:r>
              <w:rPr>
                <w:rFonts w:ascii="Arial" w:hAnsi="Arial" w:cs="Arial"/>
                <w:sz w:val="20"/>
                <w:szCs w:val="20"/>
              </w:rPr>
              <w:t xml:space="preserve">Tottenham </w:t>
            </w:r>
          </w:p>
        </w:tc>
        <w:tc>
          <w:tcPr>
            <w:tcW w:w="1611" w:type="dxa"/>
            <w:vAlign w:val="bottom"/>
          </w:tcPr>
          <w:p w14:paraId="36CF4FCA" w14:textId="77777777" w:rsidR="00620798" w:rsidRPr="00651CA4" w:rsidRDefault="00620798" w:rsidP="00FD1025">
            <w:pPr>
              <w:tabs>
                <w:tab w:val="decimal" w:pos="552"/>
              </w:tabs>
              <w:rPr>
                <w:rFonts w:ascii="Calibri" w:hAnsi="Calibri" w:cs="Calibri"/>
                <w:sz w:val="24"/>
                <w:szCs w:val="24"/>
              </w:rPr>
            </w:pPr>
            <w:r>
              <w:rPr>
                <w:rFonts w:ascii="Arial" w:hAnsi="Arial" w:cs="Arial"/>
                <w:sz w:val="20"/>
                <w:szCs w:val="20"/>
              </w:rPr>
              <w:t>50.2%</w:t>
            </w:r>
          </w:p>
        </w:tc>
        <w:tc>
          <w:tcPr>
            <w:tcW w:w="1612" w:type="dxa"/>
            <w:vAlign w:val="bottom"/>
          </w:tcPr>
          <w:p w14:paraId="4A34B839" w14:textId="77777777" w:rsidR="00620798" w:rsidRPr="00651CA4" w:rsidRDefault="00620798" w:rsidP="00FD1025">
            <w:pPr>
              <w:tabs>
                <w:tab w:val="decimal" w:pos="702"/>
              </w:tabs>
              <w:rPr>
                <w:rFonts w:ascii="Calibri" w:hAnsi="Calibri" w:cs="Calibri"/>
                <w:sz w:val="24"/>
                <w:szCs w:val="24"/>
              </w:rPr>
            </w:pPr>
            <w:r>
              <w:rPr>
                <w:rFonts w:ascii="Arial" w:hAnsi="Arial" w:cs="Arial"/>
                <w:sz w:val="20"/>
                <w:szCs w:val="20"/>
              </w:rPr>
              <w:t>24.0%</w:t>
            </w:r>
          </w:p>
        </w:tc>
        <w:tc>
          <w:tcPr>
            <w:tcW w:w="2254" w:type="dxa"/>
            <w:vAlign w:val="bottom"/>
          </w:tcPr>
          <w:p w14:paraId="638C3341" w14:textId="77777777" w:rsidR="00620798" w:rsidRPr="006F34AC" w:rsidRDefault="00620798" w:rsidP="00FD1025">
            <w:pPr>
              <w:tabs>
                <w:tab w:val="decimal" w:pos="935"/>
              </w:tabs>
              <w:rPr>
                <w:rFonts w:ascii="Calibri" w:hAnsi="Calibri" w:cs="Calibri"/>
                <w:b/>
                <w:bCs/>
                <w:sz w:val="24"/>
                <w:szCs w:val="24"/>
              </w:rPr>
            </w:pPr>
            <w:r>
              <w:rPr>
                <w:rFonts w:ascii="Arial" w:hAnsi="Arial" w:cs="Arial"/>
                <w:sz w:val="20"/>
                <w:szCs w:val="20"/>
              </w:rPr>
              <w:t>26.2%</w:t>
            </w:r>
          </w:p>
        </w:tc>
      </w:tr>
      <w:tr w:rsidR="00620798" w:rsidRPr="00165B05" w14:paraId="3C659EC4" w14:textId="77777777" w:rsidTr="00FD1025">
        <w:tc>
          <w:tcPr>
            <w:tcW w:w="3539" w:type="dxa"/>
            <w:vAlign w:val="bottom"/>
          </w:tcPr>
          <w:p w14:paraId="05FC285B" w14:textId="77777777" w:rsidR="00620798" w:rsidRPr="00651CA4" w:rsidRDefault="00620798" w:rsidP="00FD1025">
            <w:pPr>
              <w:rPr>
                <w:rFonts w:ascii="Calibri" w:eastAsia="Times New Roman" w:hAnsi="Calibri" w:cs="Calibri"/>
                <w:sz w:val="24"/>
                <w:szCs w:val="24"/>
                <w:lang w:eastAsia="en-GB"/>
              </w:rPr>
            </w:pPr>
            <w:r>
              <w:rPr>
                <w:rFonts w:ascii="Arial" w:hAnsi="Arial" w:cs="Arial"/>
                <w:sz w:val="20"/>
                <w:szCs w:val="20"/>
              </w:rPr>
              <w:t xml:space="preserve">East Ham  </w:t>
            </w:r>
          </w:p>
        </w:tc>
        <w:tc>
          <w:tcPr>
            <w:tcW w:w="1611" w:type="dxa"/>
            <w:vAlign w:val="bottom"/>
          </w:tcPr>
          <w:p w14:paraId="35A4F131" w14:textId="77777777" w:rsidR="00620798" w:rsidRPr="00651CA4" w:rsidRDefault="00620798" w:rsidP="00FD1025">
            <w:pPr>
              <w:tabs>
                <w:tab w:val="decimal" w:pos="552"/>
              </w:tabs>
              <w:rPr>
                <w:rFonts w:ascii="Calibri" w:hAnsi="Calibri" w:cs="Calibri"/>
                <w:sz w:val="24"/>
                <w:szCs w:val="24"/>
              </w:rPr>
            </w:pPr>
            <w:r>
              <w:rPr>
                <w:rFonts w:ascii="Arial" w:hAnsi="Arial" w:cs="Arial"/>
                <w:sz w:val="20"/>
                <w:szCs w:val="20"/>
              </w:rPr>
              <w:t>51.3%</w:t>
            </w:r>
          </w:p>
        </w:tc>
        <w:tc>
          <w:tcPr>
            <w:tcW w:w="1612" w:type="dxa"/>
            <w:vAlign w:val="bottom"/>
          </w:tcPr>
          <w:p w14:paraId="13C5BF3E" w14:textId="77777777" w:rsidR="00620798" w:rsidRPr="00651CA4" w:rsidRDefault="00620798" w:rsidP="00FD1025">
            <w:pPr>
              <w:tabs>
                <w:tab w:val="decimal" w:pos="702"/>
              </w:tabs>
              <w:rPr>
                <w:rFonts w:ascii="Calibri" w:hAnsi="Calibri" w:cs="Calibri"/>
                <w:sz w:val="24"/>
                <w:szCs w:val="24"/>
              </w:rPr>
            </w:pPr>
            <w:r>
              <w:rPr>
                <w:rFonts w:ascii="Arial" w:hAnsi="Arial" w:cs="Arial"/>
                <w:sz w:val="20"/>
                <w:szCs w:val="20"/>
              </w:rPr>
              <w:t>25.5%</w:t>
            </w:r>
          </w:p>
        </w:tc>
        <w:tc>
          <w:tcPr>
            <w:tcW w:w="2254" w:type="dxa"/>
            <w:vAlign w:val="bottom"/>
          </w:tcPr>
          <w:p w14:paraId="24466A38" w14:textId="77777777" w:rsidR="00620798" w:rsidRPr="006F34AC" w:rsidRDefault="00620798" w:rsidP="00FD1025">
            <w:pPr>
              <w:tabs>
                <w:tab w:val="decimal" w:pos="935"/>
              </w:tabs>
              <w:rPr>
                <w:rFonts w:ascii="Calibri" w:hAnsi="Calibri" w:cs="Calibri"/>
                <w:b/>
                <w:bCs/>
                <w:sz w:val="24"/>
                <w:szCs w:val="24"/>
              </w:rPr>
            </w:pPr>
            <w:r>
              <w:rPr>
                <w:rFonts w:ascii="Arial" w:hAnsi="Arial" w:cs="Arial"/>
                <w:sz w:val="20"/>
                <w:szCs w:val="20"/>
              </w:rPr>
              <w:t>25.8%</w:t>
            </w:r>
          </w:p>
        </w:tc>
      </w:tr>
      <w:tr w:rsidR="00620798" w:rsidRPr="00165B05" w14:paraId="6D7AD43E" w14:textId="77777777" w:rsidTr="00FD1025">
        <w:tc>
          <w:tcPr>
            <w:tcW w:w="3539" w:type="dxa"/>
            <w:vAlign w:val="bottom"/>
          </w:tcPr>
          <w:p w14:paraId="2188966D" w14:textId="77777777" w:rsidR="00620798" w:rsidRPr="00651CA4" w:rsidRDefault="00620798" w:rsidP="00FD1025">
            <w:pPr>
              <w:rPr>
                <w:rFonts w:ascii="Calibri" w:eastAsia="Times New Roman" w:hAnsi="Calibri" w:cs="Calibri"/>
                <w:sz w:val="24"/>
                <w:szCs w:val="24"/>
                <w:lang w:eastAsia="en-GB"/>
              </w:rPr>
            </w:pPr>
            <w:r>
              <w:rPr>
                <w:rFonts w:ascii="Arial" w:hAnsi="Arial" w:cs="Arial"/>
                <w:sz w:val="20"/>
                <w:szCs w:val="20"/>
              </w:rPr>
              <w:t xml:space="preserve">Camberwell and Peckham </w:t>
            </w:r>
          </w:p>
        </w:tc>
        <w:tc>
          <w:tcPr>
            <w:tcW w:w="1611" w:type="dxa"/>
            <w:vAlign w:val="bottom"/>
          </w:tcPr>
          <w:p w14:paraId="0FFFA98B" w14:textId="77777777" w:rsidR="00620798" w:rsidRPr="00651CA4" w:rsidRDefault="00620798" w:rsidP="00FD1025">
            <w:pPr>
              <w:tabs>
                <w:tab w:val="decimal" w:pos="552"/>
              </w:tabs>
              <w:rPr>
                <w:rFonts w:ascii="Calibri" w:hAnsi="Calibri" w:cs="Calibri"/>
                <w:sz w:val="24"/>
                <w:szCs w:val="24"/>
              </w:rPr>
            </w:pPr>
            <w:r>
              <w:rPr>
                <w:rFonts w:ascii="Arial" w:hAnsi="Arial" w:cs="Arial"/>
                <w:sz w:val="20"/>
                <w:szCs w:val="20"/>
              </w:rPr>
              <w:t>46.1%</w:t>
            </w:r>
          </w:p>
        </w:tc>
        <w:tc>
          <w:tcPr>
            <w:tcW w:w="1612" w:type="dxa"/>
            <w:vAlign w:val="bottom"/>
          </w:tcPr>
          <w:p w14:paraId="5E17FA15" w14:textId="77777777" w:rsidR="00620798" w:rsidRPr="00651CA4" w:rsidRDefault="00620798" w:rsidP="00FD1025">
            <w:pPr>
              <w:tabs>
                <w:tab w:val="decimal" w:pos="702"/>
              </w:tabs>
              <w:rPr>
                <w:rFonts w:ascii="Calibri" w:hAnsi="Calibri" w:cs="Calibri"/>
                <w:sz w:val="24"/>
                <w:szCs w:val="24"/>
              </w:rPr>
            </w:pPr>
            <w:r>
              <w:rPr>
                <w:rFonts w:ascii="Arial" w:hAnsi="Arial" w:cs="Arial"/>
                <w:sz w:val="20"/>
                <w:szCs w:val="20"/>
              </w:rPr>
              <w:t>21.1%</w:t>
            </w:r>
          </w:p>
        </w:tc>
        <w:tc>
          <w:tcPr>
            <w:tcW w:w="2254" w:type="dxa"/>
            <w:vAlign w:val="bottom"/>
          </w:tcPr>
          <w:p w14:paraId="58E1E77F" w14:textId="77777777" w:rsidR="00620798" w:rsidRPr="006F34AC" w:rsidRDefault="00620798" w:rsidP="00FD1025">
            <w:pPr>
              <w:tabs>
                <w:tab w:val="decimal" w:pos="935"/>
              </w:tabs>
              <w:rPr>
                <w:rFonts w:ascii="Calibri" w:hAnsi="Calibri" w:cs="Calibri"/>
                <w:b/>
                <w:bCs/>
                <w:sz w:val="24"/>
                <w:szCs w:val="24"/>
              </w:rPr>
            </w:pPr>
            <w:r>
              <w:rPr>
                <w:rFonts w:ascii="Arial" w:hAnsi="Arial" w:cs="Arial"/>
                <w:sz w:val="20"/>
                <w:szCs w:val="20"/>
              </w:rPr>
              <w:t>25.0%</w:t>
            </w:r>
          </w:p>
        </w:tc>
      </w:tr>
      <w:tr w:rsidR="00620798" w:rsidRPr="00165B05" w14:paraId="248AFA94" w14:textId="77777777" w:rsidTr="00FD1025">
        <w:tc>
          <w:tcPr>
            <w:tcW w:w="3539" w:type="dxa"/>
            <w:vAlign w:val="bottom"/>
          </w:tcPr>
          <w:p w14:paraId="1C2D37F3" w14:textId="77777777" w:rsidR="00620798" w:rsidRPr="00651CA4" w:rsidRDefault="00620798" w:rsidP="00FD1025">
            <w:pPr>
              <w:rPr>
                <w:rFonts w:ascii="Calibri" w:eastAsia="Times New Roman" w:hAnsi="Calibri" w:cs="Calibri"/>
                <w:sz w:val="24"/>
                <w:szCs w:val="24"/>
                <w:lang w:eastAsia="en-GB"/>
              </w:rPr>
            </w:pPr>
            <w:r>
              <w:rPr>
                <w:rFonts w:ascii="Arial" w:hAnsi="Arial" w:cs="Arial"/>
                <w:sz w:val="20"/>
                <w:szCs w:val="20"/>
              </w:rPr>
              <w:t xml:space="preserve">Hackney North and Stoke Newington </w:t>
            </w:r>
          </w:p>
        </w:tc>
        <w:tc>
          <w:tcPr>
            <w:tcW w:w="1611" w:type="dxa"/>
            <w:vAlign w:val="bottom"/>
          </w:tcPr>
          <w:p w14:paraId="0DC82EA3" w14:textId="77777777" w:rsidR="00620798" w:rsidRPr="00651CA4" w:rsidRDefault="00620798" w:rsidP="00FD1025">
            <w:pPr>
              <w:tabs>
                <w:tab w:val="decimal" w:pos="552"/>
              </w:tabs>
              <w:rPr>
                <w:rFonts w:ascii="Calibri" w:hAnsi="Calibri" w:cs="Calibri"/>
                <w:sz w:val="24"/>
                <w:szCs w:val="24"/>
              </w:rPr>
            </w:pPr>
            <w:r>
              <w:rPr>
                <w:rFonts w:ascii="Arial" w:hAnsi="Arial" w:cs="Arial"/>
                <w:sz w:val="20"/>
                <w:szCs w:val="20"/>
              </w:rPr>
              <w:t>44.6%</w:t>
            </w:r>
          </w:p>
        </w:tc>
        <w:tc>
          <w:tcPr>
            <w:tcW w:w="1612" w:type="dxa"/>
            <w:vAlign w:val="bottom"/>
          </w:tcPr>
          <w:p w14:paraId="53B1D005" w14:textId="77777777" w:rsidR="00620798" w:rsidRPr="00651CA4" w:rsidRDefault="00620798" w:rsidP="00FD1025">
            <w:pPr>
              <w:tabs>
                <w:tab w:val="decimal" w:pos="702"/>
              </w:tabs>
              <w:rPr>
                <w:rFonts w:ascii="Calibri" w:hAnsi="Calibri" w:cs="Calibri"/>
                <w:sz w:val="24"/>
                <w:szCs w:val="24"/>
              </w:rPr>
            </w:pPr>
            <w:r>
              <w:rPr>
                <w:rFonts w:ascii="Arial" w:hAnsi="Arial" w:cs="Arial"/>
                <w:sz w:val="20"/>
                <w:szCs w:val="20"/>
              </w:rPr>
              <w:t>19.6%</w:t>
            </w:r>
          </w:p>
        </w:tc>
        <w:tc>
          <w:tcPr>
            <w:tcW w:w="2254" w:type="dxa"/>
            <w:vAlign w:val="bottom"/>
          </w:tcPr>
          <w:p w14:paraId="6786417B" w14:textId="77777777" w:rsidR="00620798" w:rsidRPr="006F34AC" w:rsidRDefault="00620798" w:rsidP="00FD1025">
            <w:pPr>
              <w:tabs>
                <w:tab w:val="decimal" w:pos="935"/>
              </w:tabs>
              <w:rPr>
                <w:rFonts w:ascii="Calibri" w:hAnsi="Calibri" w:cs="Calibri"/>
                <w:b/>
                <w:bCs/>
                <w:sz w:val="24"/>
                <w:szCs w:val="24"/>
              </w:rPr>
            </w:pPr>
            <w:r>
              <w:rPr>
                <w:rFonts w:ascii="Arial" w:hAnsi="Arial" w:cs="Arial"/>
                <w:sz w:val="20"/>
                <w:szCs w:val="20"/>
              </w:rPr>
              <w:t>25.0%</w:t>
            </w:r>
          </w:p>
        </w:tc>
      </w:tr>
      <w:tr w:rsidR="00620798" w:rsidRPr="00165B05" w14:paraId="3546C311" w14:textId="77777777" w:rsidTr="00FD1025">
        <w:tc>
          <w:tcPr>
            <w:tcW w:w="3539" w:type="dxa"/>
            <w:vAlign w:val="bottom"/>
          </w:tcPr>
          <w:p w14:paraId="02BBD304" w14:textId="77777777" w:rsidR="00620798" w:rsidRPr="00651CA4" w:rsidRDefault="00620798" w:rsidP="00FD1025">
            <w:pPr>
              <w:rPr>
                <w:rFonts w:ascii="Calibri" w:eastAsia="Times New Roman" w:hAnsi="Calibri" w:cs="Calibri"/>
                <w:sz w:val="24"/>
                <w:szCs w:val="24"/>
                <w:lang w:eastAsia="en-GB"/>
              </w:rPr>
            </w:pPr>
            <w:r>
              <w:rPr>
                <w:rFonts w:ascii="Arial" w:hAnsi="Arial" w:cs="Arial"/>
                <w:sz w:val="20"/>
                <w:szCs w:val="20"/>
              </w:rPr>
              <w:t xml:space="preserve">Greenwich and Woolwich </w:t>
            </w:r>
          </w:p>
        </w:tc>
        <w:tc>
          <w:tcPr>
            <w:tcW w:w="1611" w:type="dxa"/>
            <w:vAlign w:val="bottom"/>
          </w:tcPr>
          <w:p w14:paraId="7A9AEC5C" w14:textId="77777777" w:rsidR="00620798" w:rsidRPr="00651CA4" w:rsidRDefault="00620798" w:rsidP="00FD1025">
            <w:pPr>
              <w:tabs>
                <w:tab w:val="decimal" w:pos="552"/>
              </w:tabs>
              <w:rPr>
                <w:rFonts w:ascii="Calibri" w:hAnsi="Calibri" w:cs="Calibri"/>
                <w:sz w:val="24"/>
                <w:szCs w:val="24"/>
              </w:rPr>
            </w:pPr>
            <w:r>
              <w:rPr>
                <w:rFonts w:ascii="Arial" w:hAnsi="Arial" w:cs="Arial"/>
                <w:sz w:val="20"/>
                <w:szCs w:val="20"/>
              </w:rPr>
              <w:t>45.9%</w:t>
            </w:r>
          </w:p>
        </w:tc>
        <w:tc>
          <w:tcPr>
            <w:tcW w:w="1612" w:type="dxa"/>
            <w:vAlign w:val="bottom"/>
          </w:tcPr>
          <w:p w14:paraId="246A7033" w14:textId="77777777" w:rsidR="00620798" w:rsidRPr="00651CA4" w:rsidRDefault="00620798" w:rsidP="00FD1025">
            <w:pPr>
              <w:tabs>
                <w:tab w:val="decimal" w:pos="702"/>
              </w:tabs>
              <w:rPr>
                <w:rFonts w:ascii="Calibri" w:hAnsi="Calibri" w:cs="Calibri"/>
                <w:sz w:val="24"/>
                <w:szCs w:val="24"/>
              </w:rPr>
            </w:pPr>
            <w:r>
              <w:rPr>
                <w:rFonts w:ascii="Arial" w:hAnsi="Arial" w:cs="Arial"/>
                <w:sz w:val="20"/>
                <w:szCs w:val="20"/>
              </w:rPr>
              <w:t>21.0%</w:t>
            </w:r>
          </w:p>
        </w:tc>
        <w:tc>
          <w:tcPr>
            <w:tcW w:w="2254" w:type="dxa"/>
            <w:vAlign w:val="bottom"/>
          </w:tcPr>
          <w:p w14:paraId="225F18CA" w14:textId="77777777" w:rsidR="00620798" w:rsidRPr="006F34AC" w:rsidRDefault="00620798" w:rsidP="00FD1025">
            <w:pPr>
              <w:tabs>
                <w:tab w:val="decimal" w:pos="935"/>
              </w:tabs>
              <w:rPr>
                <w:rFonts w:ascii="Calibri" w:hAnsi="Calibri" w:cs="Calibri"/>
                <w:b/>
                <w:bCs/>
                <w:sz w:val="24"/>
                <w:szCs w:val="24"/>
              </w:rPr>
            </w:pPr>
            <w:r>
              <w:rPr>
                <w:rFonts w:ascii="Arial" w:hAnsi="Arial" w:cs="Arial"/>
                <w:sz w:val="20"/>
                <w:szCs w:val="20"/>
              </w:rPr>
              <w:t>24.9%</w:t>
            </w:r>
          </w:p>
        </w:tc>
      </w:tr>
      <w:tr w:rsidR="00620798" w:rsidRPr="00165B05" w14:paraId="6448C2F1" w14:textId="77777777" w:rsidTr="00FD1025">
        <w:tc>
          <w:tcPr>
            <w:tcW w:w="3539" w:type="dxa"/>
            <w:vAlign w:val="bottom"/>
          </w:tcPr>
          <w:p w14:paraId="76B63A2A" w14:textId="77777777" w:rsidR="00620798" w:rsidRPr="00651CA4" w:rsidRDefault="00620798" w:rsidP="00FD1025">
            <w:pPr>
              <w:rPr>
                <w:rFonts w:ascii="Calibri" w:eastAsia="Times New Roman" w:hAnsi="Calibri" w:cs="Calibri"/>
                <w:sz w:val="24"/>
                <w:szCs w:val="24"/>
                <w:lang w:eastAsia="en-GB"/>
              </w:rPr>
            </w:pPr>
            <w:r>
              <w:rPr>
                <w:rFonts w:ascii="Arial" w:hAnsi="Arial" w:cs="Arial"/>
                <w:sz w:val="20"/>
                <w:szCs w:val="20"/>
              </w:rPr>
              <w:t>Mitcham and Morden</w:t>
            </w:r>
          </w:p>
        </w:tc>
        <w:tc>
          <w:tcPr>
            <w:tcW w:w="1611" w:type="dxa"/>
            <w:vAlign w:val="bottom"/>
          </w:tcPr>
          <w:p w14:paraId="47E2590A" w14:textId="77777777" w:rsidR="00620798" w:rsidRPr="00651CA4" w:rsidRDefault="00620798" w:rsidP="00FD1025">
            <w:pPr>
              <w:tabs>
                <w:tab w:val="decimal" w:pos="552"/>
              </w:tabs>
              <w:rPr>
                <w:rFonts w:ascii="Calibri" w:hAnsi="Calibri" w:cs="Calibri"/>
                <w:sz w:val="24"/>
                <w:szCs w:val="24"/>
              </w:rPr>
            </w:pPr>
            <w:r>
              <w:rPr>
                <w:rFonts w:ascii="Arial" w:hAnsi="Arial" w:cs="Arial"/>
                <w:sz w:val="20"/>
                <w:szCs w:val="20"/>
              </w:rPr>
              <w:t>48.5%</w:t>
            </w:r>
          </w:p>
        </w:tc>
        <w:tc>
          <w:tcPr>
            <w:tcW w:w="1612" w:type="dxa"/>
            <w:vAlign w:val="bottom"/>
          </w:tcPr>
          <w:p w14:paraId="517EB12B" w14:textId="77777777" w:rsidR="00620798" w:rsidRPr="00651CA4" w:rsidRDefault="00620798" w:rsidP="00FD1025">
            <w:pPr>
              <w:tabs>
                <w:tab w:val="decimal" w:pos="702"/>
              </w:tabs>
              <w:rPr>
                <w:rFonts w:ascii="Calibri" w:hAnsi="Calibri" w:cs="Calibri"/>
                <w:sz w:val="24"/>
                <w:szCs w:val="24"/>
              </w:rPr>
            </w:pPr>
            <w:r>
              <w:rPr>
                <w:rFonts w:ascii="Arial" w:hAnsi="Arial" w:cs="Arial"/>
                <w:sz w:val="20"/>
                <w:szCs w:val="20"/>
              </w:rPr>
              <w:t>23.8%</w:t>
            </w:r>
          </w:p>
        </w:tc>
        <w:tc>
          <w:tcPr>
            <w:tcW w:w="2254" w:type="dxa"/>
            <w:vAlign w:val="bottom"/>
          </w:tcPr>
          <w:p w14:paraId="045FA4FA" w14:textId="77777777" w:rsidR="00620798" w:rsidRPr="006F34AC" w:rsidRDefault="00620798" w:rsidP="00FD1025">
            <w:pPr>
              <w:tabs>
                <w:tab w:val="decimal" w:pos="935"/>
              </w:tabs>
              <w:rPr>
                <w:rFonts w:ascii="Calibri" w:hAnsi="Calibri" w:cs="Calibri"/>
                <w:b/>
                <w:bCs/>
                <w:sz w:val="24"/>
                <w:szCs w:val="24"/>
              </w:rPr>
            </w:pPr>
            <w:r>
              <w:rPr>
                <w:rFonts w:ascii="Arial" w:hAnsi="Arial" w:cs="Arial"/>
                <w:sz w:val="20"/>
                <w:szCs w:val="20"/>
              </w:rPr>
              <w:t>24.7%</w:t>
            </w:r>
          </w:p>
        </w:tc>
      </w:tr>
      <w:tr w:rsidR="00620798" w:rsidRPr="00165B05" w14:paraId="4CE5E54E" w14:textId="77777777" w:rsidTr="00FD1025">
        <w:tc>
          <w:tcPr>
            <w:tcW w:w="3539" w:type="dxa"/>
            <w:vAlign w:val="bottom"/>
          </w:tcPr>
          <w:p w14:paraId="566B7343" w14:textId="77777777" w:rsidR="00620798" w:rsidRPr="00651CA4" w:rsidRDefault="00620798" w:rsidP="00FD1025">
            <w:pPr>
              <w:rPr>
                <w:rFonts w:ascii="Calibri" w:eastAsia="Times New Roman" w:hAnsi="Calibri" w:cs="Calibri"/>
                <w:sz w:val="24"/>
                <w:szCs w:val="24"/>
                <w:lang w:eastAsia="en-GB"/>
              </w:rPr>
            </w:pPr>
            <w:r>
              <w:rPr>
                <w:rFonts w:ascii="Arial" w:hAnsi="Arial" w:cs="Arial"/>
                <w:sz w:val="20"/>
                <w:szCs w:val="20"/>
              </w:rPr>
              <w:t xml:space="preserve">Leyton and Wanstead </w:t>
            </w:r>
          </w:p>
        </w:tc>
        <w:tc>
          <w:tcPr>
            <w:tcW w:w="1611" w:type="dxa"/>
            <w:vAlign w:val="bottom"/>
          </w:tcPr>
          <w:p w14:paraId="7331B7C4" w14:textId="77777777" w:rsidR="00620798" w:rsidRPr="00651CA4" w:rsidRDefault="00620798" w:rsidP="00FD1025">
            <w:pPr>
              <w:tabs>
                <w:tab w:val="decimal" w:pos="552"/>
              </w:tabs>
              <w:rPr>
                <w:rFonts w:ascii="Calibri" w:hAnsi="Calibri" w:cs="Calibri"/>
                <w:sz w:val="24"/>
                <w:szCs w:val="24"/>
              </w:rPr>
            </w:pPr>
            <w:r>
              <w:rPr>
                <w:rFonts w:ascii="Arial" w:hAnsi="Arial" w:cs="Arial"/>
                <w:sz w:val="20"/>
                <w:szCs w:val="20"/>
              </w:rPr>
              <w:t>46.0%</w:t>
            </w:r>
          </w:p>
        </w:tc>
        <w:tc>
          <w:tcPr>
            <w:tcW w:w="1612" w:type="dxa"/>
            <w:vAlign w:val="bottom"/>
          </w:tcPr>
          <w:p w14:paraId="5563BFA8" w14:textId="77777777" w:rsidR="00620798" w:rsidRPr="00651CA4" w:rsidRDefault="00620798" w:rsidP="00FD1025">
            <w:pPr>
              <w:tabs>
                <w:tab w:val="decimal" w:pos="702"/>
              </w:tabs>
              <w:rPr>
                <w:rFonts w:ascii="Calibri" w:hAnsi="Calibri" w:cs="Calibri"/>
                <w:sz w:val="24"/>
                <w:szCs w:val="24"/>
              </w:rPr>
            </w:pPr>
            <w:r>
              <w:rPr>
                <w:rFonts w:ascii="Arial" w:hAnsi="Arial" w:cs="Arial"/>
                <w:sz w:val="20"/>
                <w:szCs w:val="20"/>
              </w:rPr>
              <w:t>21.3%</w:t>
            </w:r>
          </w:p>
        </w:tc>
        <w:tc>
          <w:tcPr>
            <w:tcW w:w="2254" w:type="dxa"/>
            <w:vAlign w:val="bottom"/>
          </w:tcPr>
          <w:p w14:paraId="6EBC67C5" w14:textId="77777777" w:rsidR="00620798" w:rsidRPr="006F34AC" w:rsidRDefault="00620798" w:rsidP="00FD1025">
            <w:pPr>
              <w:tabs>
                <w:tab w:val="decimal" w:pos="935"/>
              </w:tabs>
              <w:rPr>
                <w:rFonts w:ascii="Calibri" w:hAnsi="Calibri" w:cs="Calibri"/>
                <w:b/>
                <w:bCs/>
                <w:sz w:val="24"/>
                <w:szCs w:val="24"/>
              </w:rPr>
            </w:pPr>
            <w:r>
              <w:rPr>
                <w:rFonts w:ascii="Arial" w:hAnsi="Arial" w:cs="Arial"/>
                <w:sz w:val="20"/>
                <w:szCs w:val="20"/>
              </w:rPr>
              <w:t>24.7%</w:t>
            </w:r>
          </w:p>
        </w:tc>
      </w:tr>
      <w:tr w:rsidR="00620798" w:rsidRPr="00165B05" w14:paraId="5E16396F" w14:textId="77777777" w:rsidTr="00FD1025">
        <w:tc>
          <w:tcPr>
            <w:tcW w:w="3539" w:type="dxa"/>
            <w:vAlign w:val="bottom"/>
          </w:tcPr>
          <w:p w14:paraId="2A9ABB2D" w14:textId="77777777" w:rsidR="00620798" w:rsidRPr="00651CA4" w:rsidRDefault="00620798" w:rsidP="00FD1025">
            <w:pPr>
              <w:rPr>
                <w:rFonts w:ascii="Calibri" w:eastAsia="Times New Roman" w:hAnsi="Calibri" w:cs="Calibri"/>
                <w:sz w:val="24"/>
                <w:szCs w:val="24"/>
                <w:lang w:eastAsia="en-GB"/>
              </w:rPr>
            </w:pPr>
            <w:r>
              <w:rPr>
                <w:rFonts w:ascii="Arial" w:hAnsi="Arial" w:cs="Arial"/>
                <w:sz w:val="20"/>
                <w:szCs w:val="20"/>
              </w:rPr>
              <w:t xml:space="preserve">Lewisham West and Penge </w:t>
            </w:r>
          </w:p>
        </w:tc>
        <w:tc>
          <w:tcPr>
            <w:tcW w:w="1611" w:type="dxa"/>
            <w:vAlign w:val="bottom"/>
          </w:tcPr>
          <w:p w14:paraId="0D0B7F06" w14:textId="77777777" w:rsidR="00620798" w:rsidRPr="00651CA4" w:rsidRDefault="00620798" w:rsidP="00FD1025">
            <w:pPr>
              <w:tabs>
                <w:tab w:val="decimal" w:pos="552"/>
              </w:tabs>
              <w:rPr>
                <w:rFonts w:ascii="Calibri" w:hAnsi="Calibri" w:cs="Calibri"/>
                <w:sz w:val="24"/>
                <w:szCs w:val="24"/>
              </w:rPr>
            </w:pPr>
            <w:r>
              <w:rPr>
                <w:rFonts w:ascii="Arial" w:hAnsi="Arial" w:cs="Arial"/>
                <w:sz w:val="20"/>
                <w:szCs w:val="20"/>
              </w:rPr>
              <w:t>45.9%</w:t>
            </w:r>
          </w:p>
        </w:tc>
        <w:tc>
          <w:tcPr>
            <w:tcW w:w="1612" w:type="dxa"/>
            <w:vAlign w:val="bottom"/>
          </w:tcPr>
          <w:p w14:paraId="0D14BC36" w14:textId="77777777" w:rsidR="00620798" w:rsidRPr="00651CA4" w:rsidRDefault="00620798" w:rsidP="00FD1025">
            <w:pPr>
              <w:tabs>
                <w:tab w:val="decimal" w:pos="702"/>
              </w:tabs>
              <w:rPr>
                <w:rFonts w:ascii="Calibri" w:hAnsi="Calibri" w:cs="Calibri"/>
                <w:sz w:val="24"/>
                <w:szCs w:val="24"/>
              </w:rPr>
            </w:pPr>
            <w:r>
              <w:rPr>
                <w:rFonts w:ascii="Arial" w:hAnsi="Arial" w:cs="Arial"/>
                <w:sz w:val="20"/>
                <w:szCs w:val="20"/>
              </w:rPr>
              <w:t>21.5%</w:t>
            </w:r>
          </w:p>
        </w:tc>
        <w:tc>
          <w:tcPr>
            <w:tcW w:w="2254" w:type="dxa"/>
            <w:vAlign w:val="bottom"/>
          </w:tcPr>
          <w:p w14:paraId="6F850B7A" w14:textId="77777777" w:rsidR="00620798" w:rsidRPr="006F34AC" w:rsidRDefault="00620798" w:rsidP="00FD1025">
            <w:pPr>
              <w:tabs>
                <w:tab w:val="decimal" w:pos="935"/>
              </w:tabs>
              <w:rPr>
                <w:rFonts w:ascii="Calibri" w:hAnsi="Calibri" w:cs="Calibri"/>
                <w:b/>
                <w:bCs/>
                <w:sz w:val="24"/>
                <w:szCs w:val="24"/>
              </w:rPr>
            </w:pPr>
            <w:r>
              <w:rPr>
                <w:rFonts w:ascii="Arial" w:hAnsi="Arial" w:cs="Arial"/>
                <w:sz w:val="20"/>
                <w:szCs w:val="20"/>
              </w:rPr>
              <w:t>24.4%</w:t>
            </w:r>
          </w:p>
        </w:tc>
      </w:tr>
    </w:tbl>
    <w:p w14:paraId="4BE40A33" w14:textId="77777777" w:rsidR="00620798" w:rsidRDefault="00620798" w:rsidP="009F3434">
      <w:pPr>
        <w:rPr>
          <w:sz w:val="24"/>
          <w:szCs w:val="24"/>
        </w:rPr>
      </w:pPr>
    </w:p>
    <w:p w14:paraId="6951E115" w14:textId="64FEA284" w:rsidR="009F3434" w:rsidRDefault="00662B0E" w:rsidP="009F3434">
      <w:pPr>
        <w:rPr>
          <w:sz w:val="24"/>
          <w:szCs w:val="24"/>
        </w:rPr>
      </w:pPr>
      <w:r>
        <w:rPr>
          <w:sz w:val="24"/>
          <w:szCs w:val="24"/>
        </w:rPr>
        <w:t xml:space="preserve">While the analysis in this paper has shown that looking at incomes before housing masks high AHC poverty rates in London, it is also important to note that high AHC poverty does not only occur in areas with </w:t>
      </w:r>
      <w:r w:rsidR="00A71C5D">
        <w:rPr>
          <w:sz w:val="24"/>
          <w:szCs w:val="24"/>
        </w:rPr>
        <w:t>the hi</w:t>
      </w:r>
      <w:r>
        <w:rPr>
          <w:sz w:val="24"/>
          <w:szCs w:val="24"/>
        </w:rPr>
        <w:t>gh</w:t>
      </w:r>
      <w:r w:rsidR="00A71C5D">
        <w:rPr>
          <w:sz w:val="24"/>
          <w:szCs w:val="24"/>
        </w:rPr>
        <w:t>est</w:t>
      </w:r>
      <w:r>
        <w:rPr>
          <w:sz w:val="24"/>
          <w:szCs w:val="24"/>
        </w:rPr>
        <w:t xml:space="preserve"> housing costs. Figure 4 shows, in fact, that the highest rates occur </w:t>
      </w:r>
      <w:r>
        <w:rPr>
          <w:i/>
          <w:iCs/>
          <w:sz w:val="24"/>
          <w:szCs w:val="24"/>
        </w:rPr>
        <w:t>both</w:t>
      </w:r>
      <w:r>
        <w:rPr>
          <w:sz w:val="24"/>
          <w:szCs w:val="24"/>
        </w:rPr>
        <w:t xml:space="preserve"> in </w:t>
      </w:r>
      <w:r w:rsidR="009F3434">
        <w:rPr>
          <w:sz w:val="24"/>
          <w:szCs w:val="24"/>
        </w:rPr>
        <w:t xml:space="preserve">areas with high housing costs </w:t>
      </w:r>
      <w:r w:rsidR="009F3434">
        <w:rPr>
          <w:i/>
          <w:iCs/>
          <w:sz w:val="24"/>
          <w:szCs w:val="24"/>
        </w:rPr>
        <w:t>and</w:t>
      </w:r>
      <w:r w:rsidR="009F3434">
        <w:rPr>
          <w:sz w:val="24"/>
          <w:szCs w:val="24"/>
        </w:rPr>
        <w:t xml:space="preserve"> in areas with</w:t>
      </w:r>
      <w:r w:rsidR="00A71C5D">
        <w:rPr>
          <w:sz w:val="24"/>
          <w:szCs w:val="24"/>
        </w:rPr>
        <w:t xml:space="preserve"> the</w:t>
      </w:r>
      <w:r w:rsidR="009F3434">
        <w:rPr>
          <w:sz w:val="24"/>
          <w:szCs w:val="24"/>
        </w:rPr>
        <w:t xml:space="preserve"> low</w:t>
      </w:r>
      <w:r w:rsidR="00A71C5D">
        <w:rPr>
          <w:sz w:val="24"/>
          <w:szCs w:val="24"/>
        </w:rPr>
        <w:t>est</w:t>
      </w:r>
      <w:r w:rsidR="009F3434">
        <w:rPr>
          <w:sz w:val="24"/>
          <w:szCs w:val="24"/>
        </w:rPr>
        <w:t xml:space="preserve"> housing costs (</w:t>
      </w:r>
      <w:r w:rsidR="00A71C5D">
        <w:rPr>
          <w:sz w:val="24"/>
          <w:szCs w:val="24"/>
        </w:rPr>
        <w:t>see explanatory note).</w:t>
      </w:r>
      <w:r w:rsidR="009F3434">
        <w:rPr>
          <w:sz w:val="24"/>
          <w:szCs w:val="24"/>
        </w:rPr>
        <w:t xml:space="preserve"> The latter comprise areas where both incomes and rents are very low – </w:t>
      </w:r>
      <w:proofErr w:type="gramStart"/>
      <w:r w:rsidR="009F3434">
        <w:rPr>
          <w:sz w:val="24"/>
          <w:szCs w:val="24"/>
        </w:rPr>
        <w:t>in particular the</w:t>
      </w:r>
      <w:proofErr w:type="gramEnd"/>
      <w:r w:rsidR="009F3434">
        <w:rPr>
          <w:sz w:val="24"/>
          <w:szCs w:val="24"/>
        </w:rPr>
        <w:t xml:space="preserve"> poorest areas of Midlands and Northern conurbations. In fact, all five of the local authorities with the highest BHC poverty rates are also among the 20 local authorities with the smallest difference between BHC and AHC rates – </w:t>
      </w:r>
      <w:proofErr w:type="spellStart"/>
      <w:r w:rsidR="009F3434">
        <w:rPr>
          <w:sz w:val="24"/>
          <w:szCs w:val="24"/>
        </w:rPr>
        <w:t>ie</w:t>
      </w:r>
      <w:proofErr w:type="spellEnd"/>
      <w:r w:rsidR="009F3434">
        <w:rPr>
          <w:sz w:val="24"/>
          <w:szCs w:val="24"/>
        </w:rPr>
        <w:t xml:space="preserve"> low-rent areas. These five councils are all in the north of England: Oldham, Pendle, Middlesbrough, Blackburn with Darwen and Bradford. Here,</w:t>
      </w:r>
      <w:r w:rsidR="00A71C5D">
        <w:rPr>
          <w:sz w:val="24"/>
          <w:szCs w:val="24"/>
        </w:rPr>
        <w:t xml:space="preserve"> around</w:t>
      </w:r>
      <w:r w:rsidR="009F3434">
        <w:rPr>
          <w:sz w:val="24"/>
          <w:szCs w:val="24"/>
        </w:rPr>
        <w:t xml:space="preserve"> four in ten children live in households in poverty after housing costs – not as high as in the worst-hit boroughs of London, but still well above the national average.</w:t>
      </w:r>
    </w:p>
    <w:p w14:paraId="176754F6" w14:textId="7233283F" w:rsidR="00620798" w:rsidRDefault="00620798" w:rsidP="009F3434">
      <w:pPr>
        <w:rPr>
          <w:sz w:val="24"/>
          <w:szCs w:val="24"/>
        </w:rPr>
      </w:pPr>
    </w:p>
    <w:p w14:paraId="2F9BF2A6" w14:textId="0CB8843A" w:rsidR="00620798" w:rsidRDefault="00620798">
      <w:pPr>
        <w:rPr>
          <w:sz w:val="24"/>
          <w:szCs w:val="24"/>
        </w:rPr>
      </w:pPr>
      <w:r>
        <w:rPr>
          <w:sz w:val="24"/>
          <w:szCs w:val="24"/>
        </w:rPr>
        <w:br w:type="page"/>
      </w:r>
    </w:p>
    <w:p w14:paraId="219660A7" w14:textId="77777777" w:rsidR="00A71C5D" w:rsidRDefault="00620798" w:rsidP="009F3434">
      <w:pPr>
        <w:rPr>
          <w:b/>
          <w:bCs/>
          <w:sz w:val="24"/>
          <w:szCs w:val="24"/>
        </w:rPr>
      </w:pPr>
      <w:r>
        <w:rPr>
          <w:b/>
          <w:bCs/>
          <w:sz w:val="24"/>
          <w:szCs w:val="24"/>
        </w:rPr>
        <w:lastRenderedPageBreak/>
        <w:t>Figure 4 Poverty before and after housing costs in local authorities ranked by rent levels</w:t>
      </w:r>
    </w:p>
    <w:p w14:paraId="06B53436" w14:textId="77777777" w:rsidR="00620798" w:rsidRPr="00620798" w:rsidRDefault="00620798" w:rsidP="009F3434">
      <w:pPr>
        <w:rPr>
          <w:b/>
          <w:bCs/>
          <w:sz w:val="24"/>
          <w:szCs w:val="24"/>
        </w:rPr>
      </w:pPr>
    </w:p>
    <w:p w14:paraId="0E1F0F28" w14:textId="77777777" w:rsidR="00A71C5D" w:rsidRDefault="00620798" w:rsidP="009F3434">
      <w:pPr>
        <w:rPr>
          <w:b/>
          <w:bCs/>
          <w:sz w:val="24"/>
          <w:szCs w:val="24"/>
        </w:rPr>
      </w:pPr>
      <w:r>
        <w:rPr>
          <w:noProof/>
        </w:rPr>
        <w:drawing>
          <wp:inline distT="0" distB="0" distL="0" distR="0" wp14:anchorId="55ED2B6C" wp14:editId="022AB4F7">
            <wp:extent cx="6000756" cy="2615609"/>
            <wp:effectExtent l="19050" t="19050" r="19050" b="133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4639" t="30994" r="54921" b="6342"/>
                    <a:stretch/>
                  </pic:blipFill>
                  <pic:spPr bwMode="auto">
                    <a:xfrm>
                      <a:off x="0" y="0"/>
                      <a:ext cx="6030187" cy="2628437"/>
                    </a:xfrm>
                    <a:prstGeom prst="rect">
                      <a:avLst/>
                    </a:prstGeom>
                    <a:ln>
                      <a:solidFill>
                        <a:schemeClr val="accent1">
                          <a:lumMod val="75000"/>
                        </a:schemeClr>
                      </a:solidFill>
                    </a:ln>
                    <a:extLst>
                      <a:ext uri="{53640926-AAD7-44D8-BBD7-CCE9431645EC}">
                        <a14:shadowObscured xmlns:a14="http://schemas.microsoft.com/office/drawing/2010/main"/>
                      </a:ext>
                    </a:extLst>
                  </pic:spPr>
                </pic:pic>
              </a:graphicData>
            </a:graphic>
          </wp:inline>
        </w:drawing>
      </w:r>
    </w:p>
    <w:p w14:paraId="02664D8A" w14:textId="6A9F99CA" w:rsidR="00A71C5D" w:rsidRDefault="00E75C8B" w:rsidP="00A71C5D">
      <w:pPr>
        <w:rPr>
          <w:i/>
          <w:iCs/>
          <w:sz w:val="24"/>
          <w:szCs w:val="24"/>
        </w:rPr>
      </w:pPr>
      <w:r>
        <w:rPr>
          <w:i/>
          <w:iCs/>
          <w:sz w:val="24"/>
          <w:szCs w:val="24"/>
        </w:rPr>
        <w:t>Explanatory</w:t>
      </w:r>
      <w:r w:rsidR="00A71C5D">
        <w:rPr>
          <w:i/>
          <w:iCs/>
          <w:sz w:val="24"/>
          <w:szCs w:val="24"/>
        </w:rPr>
        <w:t xml:space="preserve"> note: </w:t>
      </w:r>
    </w:p>
    <w:p w14:paraId="58951725" w14:textId="32BBCA8A" w:rsidR="00A71C5D" w:rsidRDefault="00A71C5D" w:rsidP="00A71C5D">
      <w:pPr>
        <w:rPr>
          <w:b/>
          <w:bCs/>
          <w:sz w:val="24"/>
          <w:szCs w:val="24"/>
        </w:rPr>
      </w:pPr>
      <w:r>
        <w:rPr>
          <w:i/>
          <w:iCs/>
          <w:sz w:val="24"/>
          <w:szCs w:val="24"/>
        </w:rPr>
        <w:t>This graph divides local authorities into ten groups, with those with the lowest rent on the left, and with the highest rent on the right. The trend line shows the correlation between rent levels on the one hand and the AHC/BHC ratio on the other. Note that in Decile 1, even though low rent levels mean that AHC poverty is not as far above BHC poverty as in other deciles, the fact that BHC poverty is high (because incomes tend to be low-rent areas) means that AHC poverty is also higher than in any other decile except decile 10 where housing costs are the highest.</w:t>
      </w:r>
      <w:r>
        <w:rPr>
          <w:b/>
          <w:bCs/>
          <w:sz w:val="24"/>
          <w:szCs w:val="24"/>
        </w:rPr>
        <w:t xml:space="preserve"> </w:t>
      </w:r>
    </w:p>
    <w:p w14:paraId="4532CBCC" w14:textId="334F8E9E" w:rsidR="00E04ED3" w:rsidRDefault="00E04ED3" w:rsidP="009F3434">
      <w:pPr>
        <w:rPr>
          <w:b/>
          <w:bCs/>
          <w:sz w:val="24"/>
          <w:szCs w:val="24"/>
        </w:rPr>
      </w:pPr>
      <w:r>
        <w:rPr>
          <w:b/>
          <w:bCs/>
          <w:sz w:val="24"/>
          <w:szCs w:val="24"/>
        </w:rPr>
        <w:br w:type="page"/>
      </w:r>
    </w:p>
    <w:p w14:paraId="01727E24" w14:textId="7F261CDD" w:rsidR="00911F8E" w:rsidRPr="00E75C8B" w:rsidRDefault="00911F8E" w:rsidP="00E75C8B">
      <w:pPr>
        <w:pStyle w:val="Heading1"/>
      </w:pPr>
      <w:bookmarkStart w:id="10" w:name="_Toc52547008"/>
      <w:bookmarkStart w:id="11" w:name="_Toc52547181"/>
      <w:r w:rsidRPr="00E75C8B">
        <w:rPr>
          <w:rStyle w:val="Heading1Char"/>
          <w:b/>
          <w:bCs/>
        </w:rPr>
        <w:lastRenderedPageBreak/>
        <w:t>Appendix</w:t>
      </w:r>
      <w:r w:rsidR="00E04ED3" w:rsidRPr="00E75C8B">
        <w:rPr>
          <w:rStyle w:val="Heading1Char"/>
          <w:b/>
          <w:bCs/>
        </w:rPr>
        <w:t xml:space="preserve"> A</w:t>
      </w:r>
      <w:r w:rsidR="00FD1025" w:rsidRPr="00E75C8B">
        <w:rPr>
          <w:rStyle w:val="Heading1Char"/>
          <w:b/>
          <w:bCs/>
        </w:rPr>
        <w:t xml:space="preserve">: </w:t>
      </w:r>
      <w:r w:rsidR="000A189A" w:rsidRPr="00E75C8B">
        <w:t>S</w:t>
      </w:r>
      <w:r w:rsidRPr="00E75C8B">
        <w:t xml:space="preserve">ummary of </w:t>
      </w:r>
      <w:r w:rsidR="006B625D" w:rsidRPr="00E75C8B">
        <w:t xml:space="preserve">DWP/HMRC </w:t>
      </w:r>
      <w:r w:rsidRPr="00E75C8B">
        <w:t>method for deriving the new local child poverty indicator</w:t>
      </w:r>
      <w:bookmarkEnd w:id="10"/>
      <w:bookmarkEnd w:id="11"/>
    </w:p>
    <w:p w14:paraId="4C15E06C" w14:textId="77777777" w:rsidR="00911F8E" w:rsidRPr="00165B05" w:rsidRDefault="00911F8E" w:rsidP="00165B05">
      <w:pPr>
        <w:spacing w:after="0" w:line="240" w:lineRule="auto"/>
        <w:rPr>
          <w:sz w:val="24"/>
          <w:szCs w:val="24"/>
        </w:rPr>
      </w:pPr>
    </w:p>
    <w:p w14:paraId="35962EA7" w14:textId="70DC1E64" w:rsidR="00911F8E" w:rsidRDefault="00911F8E" w:rsidP="00165B05">
      <w:pPr>
        <w:spacing w:after="0" w:line="240" w:lineRule="auto"/>
        <w:rPr>
          <w:sz w:val="24"/>
          <w:szCs w:val="24"/>
        </w:rPr>
      </w:pPr>
      <w:r w:rsidRPr="00165B05">
        <w:rPr>
          <w:sz w:val="24"/>
          <w:szCs w:val="24"/>
        </w:rPr>
        <w:t>The local child poverty estimates compiled by DWP/HMRC are based on family income data.</w:t>
      </w:r>
    </w:p>
    <w:p w14:paraId="4786E7B3" w14:textId="77777777" w:rsidR="00165B05" w:rsidRPr="00165B05" w:rsidRDefault="00165B05" w:rsidP="00165B05">
      <w:pPr>
        <w:spacing w:after="0" w:line="240" w:lineRule="auto"/>
        <w:rPr>
          <w:sz w:val="24"/>
          <w:szCs w:val="24"/>
        </w:rPr>
      </w:pPr>
    </w:p>
    <w:p w14:paraId="5C7E6556" w14:textId="1B140005" w:rsidR="00911F8E" w:rsidRDefault="00911F8E" w:rsidP="00165B05">
      <w:pPr>
        <w:spacing w:after="0" w:line="240" w:lineRule="auto"/>
        <w:rPr>
          <w:sz w:val="24"/>
          <w:szCs w:val="24"/>
        </w:rPr>
      </w:pPr>
      <w:r w:rsidRPr="00165B05">
        <w:rPr>
          <w:sz w:val="24"/>
          <w:szCs w:val="24"/>
        </w:rPr>
        <w:t xml:space="preserve">A </w:t>
      </w:r>
      <w:r w:rsidR="000A189A">
        <w:rPr>
          <w:sz w:val="24"/>
          <w:szCs w:val="24"/>
        </w:rPr>
        <w:t>‘</w:t>
      </w:r>
      <w:r w:rsidRPr="00165B05">
        <w:rPr>
          <w:sz w:val="24"/>
          <w:szCs w:val="24"/>
        </w:rPr>
        <w:t>family</w:t>
      </w:r>
      <w:r w:rsidR="000A189A">
        <w:rPr>
          <w:sz w:val="24"/>
          <w:szCs w:val="24"/>
        </w:rPr>
        <w:t>’</w:t>
      </w:r>
      <w:r w:rsidRPr="00165B05">
        <w:rPr>
          <w:sz w:val="24"/>
          <w:szCs w:val="24"/>
        </w:rPr>
        <w:t xml:space="preserve"> is defined as a single person or couple plus any dependent children.</w:t>
      </w:r>
      <w:r w:rsidR="009352BC">
        <w:rPr>
          <w:sz w:val="24"/>
          <w:szCs w:val="24"/>
        </w:rPr>
        <w:t xml:space="preserve"> </w:t>
      </w:r>
      <w:r w:rsidRPr="00165B05">
        <w:rPr>
          <w:sz w:val="24"/>
          <w:szCs w:val="24"/>
        </w:rPr>
        <w:t xml:space="preserve">This is not the same as a </w:t>
      </w:r>
      <w:r w:rsidR="000A189A">
        <w:rPr>
          <w:sz w:val="24"/>
          <w:szCs w:val="24"/>
        </w:rPr>
        <w:t>‘</w:t>
      </w:r>
      <w:r w:rsidRPr="00165B05">
        <w:rPr>
          <w:sz w:val="24"/>
          <w:szCs w:val="24"/>
        </w:rPr>
        <w:t>household</w:t>
      </w:r>
      <w:r w:rsidR="000A189A">
        <w:rPr>
          <w:sz w:val="24"/>
          <w:szCs w:val="24"/>
        </w:rPr>
        <w:t>’</w:t>
      </w:r>
      <w:r w:rsidRPr="00165B05">
        <w:rPr>
          <w:sz w:val="24"/>
          <w:szCs w:val="24"/>
        </w:rPr>
        <w:t>, which also includes people living together and sharing some costs and/or living space, who are not in the same family.</w:t>
      </w:r>
    </w:p>
    <w:p w14:paraId="68F20443" w14:textId="77777777" w:rsidR="00165B05" w:rsidRPr="00165B05" w:rsidRDefault="00165B05" w:rsidP="00165B05">
      <w:pPr>
        <w:spacing w:after="0" w:line="240" w:lineRule="auto"/>
        <w:rPr>
          <w:sz w:val="24"/>
          <w:szCs w:val="24"/>
        </w:rPr>
      </w:pPr>
    </w:p>
    <w:p w14:paraId="6B93DC13" w14:textId="5A7CA149" w:rsidR="00165B05" w:rsidRPr="00165B05" w:rsidRDefault="00911F8E" w:rsidP="00165B05">
      <w:pPr>
        <w:spacing w:after="0" w:line="240" w:lineRule="auto"/>
        <w:rPr>
          <w:sz w:val="24"/>
          <w:szCs w:val="24"/>
        </w:rPr>
      </w:pPr>
      <w:r w:rsidRPr="00165B05">
        <w:rPr>
          <w:sz w:val="24"/>
          <w:szCs w:val="24"/>
        </w:rPr>
        <w:t>In these data, the income of all families is considered using tax, tax credit and benefit data.</w:t>
      </w:r>
    </w:p>
    <w:p w14:paraId="126534DC" w14:textId="720B414D" w:rsidR="00911F8E" w:rsidRDefault="00911F8E" w:rsidP="00165B05">
      <w:pPr>
        <w:spacing w:after="0" w:line="240" w:lineRule="auto"/>
        <w:rPr>
          <w:sz w:val="24"/>
          <w:szCs w:val="24"/>
        </w:rPr>
      </w:pPr>
      <w:r w:rsidRPr="00165B05">
        <w:rPr>
          <w:sz w:val="24"/>
          <w:szCs w:val="24"/>
        </w:rPr>
        <w:t xml:space="preserve">(This is not as complete an account of income as in household income surveys since it excludes some kinds of income such as investment income. </w:t>
      </w:r>
      <w:r w:rsidR="000A189A">
        <w:rPr>
          <w:sz w:val="24"/>
          <w:szCs w:val="24"/>
        </w:rPr>
        <w:t xml:space="preserve"> </w:t>
      </w:r>
      <w:r w:rsidRPr="00165B05">
        <w:rPr>
          <w:sz w:val="24"/>
          <w:szCs w:val="24"/>
        </w:rPr>
        <w:t>However, it gives a consistently defined income estimate based on the whole population not just on a sample as in the surveys, making local area calculations possible.)</w:t>
      </w:r>
      <w:r w:rsidR="000A189A">
        <w:rPr>
          <w:sz w:val="24"/>
          <w:szCs w:val="24"/>
        </w:rPr>
        <w:t xml:space="preserve">  </w:t>
      </w:r>
    </w:p>
    <w:p w14:paraId="09F4C387" w14:textId="77777777" w:rsidR="00165B05" w:rsidRPr="00165B05" w:rsidRDefault="00165B05" w:rsidP="00165B05">
      <w:pPr>
        <w:spacing w:after="0" w:line="240" w:lineRule="auto"/>
        <w:rPr>
          <w:sz w:val="24"/>
          <w:szCs w:val="24"/>
        </w:rPr>
      </w:pPr>
    </w:p>
    <w:p w14:paraId="4FA9A9C6" w14:textId="7A445B96" w:rsidR="00911F8E" w:rsidRDefault="00911F8E" w:rsidP="00165B05">
      <w:pPr>
        <w:spacing w:after="0" w:line="240" w:lineRule="auto"/>
        <w:rPr>
          <w:sz w:val="24"/>
          <w:szCs w:val="24"/>
        </w:rPr>
      </w:pPr>
      <w:r w:rsidRPr="00165B05">
        <w:rPr>
          <w:sz w:val="24"/>
          <w:szCs w:val="24"/>
        </w:rPr>
        <w:t>Even though the estimates are based on family income, they seek to make an estimate of household poverty, consistent with the Households Below Average Income measure</w:t>
      </w:r>
      <w:r w:rsidR="000A189A">
        <w:rPr>
          <w:sz w:val="24"/>
          <w:szCs w:val="24"/>
        </w:rPr>
        <w:t>.</w:t>
      </w:r>
    </w:p>
    <w:p w14:paraId="3AE2E034" w14:textId="2C931725" w:rsidR="00911F8E" w:rsidRDefault="00310570" w:rsidP="00165B05">
      <w:pPr>
        <w:spacing w:after="0" w:line="240" w:lineRule="auto"/>
        <w:rPr>
          <w:sz w:val="24"/>
          <w:szCs w:val="24"/>
        </w:rPr>
      </w:pPr>
      <w:r>
        <w:rPr>
          <w:sz w:val="24"/>
          <w:szCs w:val="24"/>
        </w:rPr>
        <w:t>T</w:t>
      </w:r>
      <w:r w:rsidR="00911F8E" w:rsidRPr="00165B05">
        <w:rPr>
          <w:sz w:val="24"/>
          <w:szCs w:val="24"/>
        </w:rPr>
        <w:t>hey do this by setting the results alongside the household rates of child poverty in the HBAI survey, broken down by region and work status.</w:t>
      </w:r>
    </w:p>
    <w:p w14:paraId="4BE30D01" w14:textId="77777777" w:rsidR="00165B05" w:rsidRPr="00165B05" w:rsidRDefault="00165B05" w:rsidP="00165B05">
      <w:pPr>
        <w:spacing w:after="0" w:line="240" w:lineRule="auto"/>
        <w:rPr>
          <w:sz w:val="24"/>
          <w:szCs w:val="24"/>
        </w:rPr>
      </w:pPr>
    </w:p>
    <w:p w14:paraId="2CC00B7A" w14:textId="6076BE98" w:rsidR="00911F8E" w:rsidRDefault="00911F8E" w:rsidP="00165B05">
      <w:pPr>
        <w:spacing w:after="0" w:line="240" w:lineRule="auto"/>
        <w:rPr>
          <w:sz w:val="24"/>
          <w:szCs w:val="24"/>
        </w:rPr>
      </w:pPr>
      <w:r w:rsidRPr="00165B05">
        <w:rPr>
          <w:sz w:val="24"/>
          <w:szCs w:val="24"/>
        </w:rPr>
        <w:t>In each region, the percentage of children in household poverty before housing costs is observed from HBAI, both for those living in families where at least one parent works and those in non-working families.</w:t>
      </w:r>
    </w:p>
    <w:p w14:paraId="467AC840" w14:textId="77777777" w:rsidR="00165B05" w:rsidRPr="00165B05" w:rsidRDefault="00165B05" w:rsidP="00165B05">
      <w:pPr>
        <w:spacing w:after="0" w:line="240" w:lineRule="auto"/>
        <w:rPr>
          <w:sz w:val="24"/>
          <w:szCs w:val="24"/>
        </w:rPr>
      </w:pPr>
    </w:p>
    <w:p w14:paraId="2F5C8CDC" w14:textId="3BB9F54E" w:rsidR="00911F8E" w:rsidRDefault="00911F8E" w:rsidP="00165B05">
      <w:pPr>
        <w:spacing w:after="0" w:line="240" w:lineRule="auto"/>
        <w:rPr>
          <w:sz w:val="24"/>
          <w:szCs w:val="24"/>
        </w:rPr>
      </w:pPr>
      <w:r w:rsidRPr="00165B05">
        <w:rPr>
          <w:sz w:val="24"/>
          <w:szCs w:val="24"/>
        </w:rPr>
        <w:t xml:space="preserve">In each case, those same percentage poverty rates are assumed to apply to the family income results collected by DWP and </w:t>
      </w:r>
      <w:proofErr w:type="spellStart"/>
      <w:r w:rsidRPr="00165B05">
        <w:rPr>
          <w:sz w:val="24"/>
          <w:szCs w:val="24"/>
        </w:rPr>
        <w:t>HMRC.For</w:t>
      </w:r>
      <w:proofErr w:type="spellEnd"/>
      <w:r w:rsidRPr="00165B05">
        <w:rPr>
          <w:sz w:val="24"/>
          <w:szCs w:val="24"/>
        </w:rPr>
        <w:t xml:space="preserve"> example, if 10% children in working families in Region A. are in household poverty according to HBAI, the 10% of children in working families in that region with the lowest reported family incomes are also assumed to be in poverty.</w:t>
      </w:r>
    </w:p>
    <w:p w14:paraId="4D626B7C" w14:textId="77777777" w:rsidR="00165B05" w:rsidRPr="00165B05" w:rsidRDefault="00165B05" w:rsidP="00165B05">
      <w:pPr>
        <w:spacing w:after="0" w:line="240" w:lineRule="auto"/>
        <w:rPr>
          <w:sz w:val="24"/>
          <w:szCs w:val="24"/>
        </w:rPr>
      </w:pPr>
    </w:p>
    <w:p w14:paraId="0C949D81" w14:textId="0DCAF864" w:rsidR="00911F8E" w:rsidRDefault="00911F8E" w:rsidP="00165B05">
      <w:pPr>
        <w:spacing w:after="0" w:line="240" w:lineRule="auto"/>
        <w:rPr>
          <w:sz w:val="24"/>
          <w:szCs w:val="24"/>
        </w:rPr>
      </w:pPr>
      <w:r w:rsidRPr="00165B05">
        <w:rPr>
          <w:sz w:val="24"/>
          <w:szCs w:val="24"/>
        </w:rPr>
        <w:t>By observing in which areas within the region those 10% of children live, and by repeating this for children in non-working families, the number and hence percentage of children in each local area estimated to be in household poverty is derived.</w:t>
      </w:r>
    </w:p>
    <w:p w14:paraId="5F837706" w14:textId="77777777" w:rsidR="00165B05" w:rsidRPr="00165B05" w:rsidRDefault="00165B05" w:rsidP="00165B05">
      <w:pPr>
        <w:spacing w:after="0" w:line="240" w:lineRule="auto"/>
        <w:rPr>
          <w:sz w:val="24"/>
          <w:szCs w:val="24"/>
        </w:rPr>
      </w:pPr>
    </w:p>
    <w:p w14:paraId="58A85A04" w14:textId="7FAF4336" w:rsidR="00911F8E" w:rsidRDefault="00911F8E" w:rsidP="00165B05">
      <w:pPr>
        <w:spacing w:after="0" w:line="240" w:lineRule="auto"/>
        <w:rPr>
          <w:sz w:val="24"/>
          <w:szCs w:val="24"/>
        </w:rPr>
      </w:pPr>
      <w:r w:rsidRPr="00165B05">
        <w:rPr>
          <w:sz w:val="24"/>
          <w:szCs w:val="24"/>
        </w:rPr>
        <w:t>Unlike other child poverty data, which covers children up to the end of secondary school, these estimates are only for chi</w:t>
      </w:r>
      <w:r w:rsidR="00AD4FBC">
        <w:rPr>
          <w:sz w:val="24"/>
          <w:szCs w:val="24"/>
        </w:rPr>
        <w:t>l</w:t>
      </w:r>
      <w:r w:rsidRPr="00165B05">
        <w:rPr>
          <w:sz w:val="24"/>
          <w:szCs w:val="24"/>
        </w:rPr>
        <w:t>dren under the age of 16.</w:t>
      </w:r>
      <w:r w:rsidR="000A189A">
        <w:rPr>
          <w:sz w:val="24"/>
          <w:szCs w:val="24"/>
        </w:rPr>
        <w:t xml:space="preserve"> </w:t>
      </w:r>
      <w:r w:rsidRPr="00165B05">
        <w:rPr>
          <w:sz w:val="24"/>
          <w:szCs w:val="24"/>
        </w:rPr>
        <w:t xml:space="preserve"> This is because </w:t>
      </w:r>
      <w:proofErr w:type="gramStart"/>
      <w:r w:rsidRPr="00165B05">
        <w:rPr>
          <w:sz w:val="24"/>
          <w:szCs w:val="24"/>
        </w:rPr>
        <w:t>in order to</w:t>
      </w:r>
      <w:proofErr w:type="gramEnd"/>
      <w:r w:rsidRPr="00165B05">
        <w:rPr>
          <w:sz w:val="24"/>
          <w:szCs w:val="24"/>
        </w:rPr>
        <w:t xml:space="preserve"> derive percentage rates, population data by age (mid-year estimates) have been used. </w:t>
      </w:r>
      <w:r w:rsidR="000A189A">
        <w:rPr>
          <w:sz w:val="24"/>
          <w:szCs w:val="24"/>
        </w:rPr>
        <w:t xml:space="preserve"> </w:t>
      </w:r>
      <w:r w:rsidRPr="00165B05">
        <w:rPr>
          <w:sz w:val="24"/>
          <w:szCs w:val="24"/>
        </w:rPr>
        <w:t xml:space="preserve">Conventionally, a 'child' over the age of 16 is one who is still in full-time secondary education, so not all </w:t>
      </w:r>
      <w:proofErr w:type="gramStart"/>
      <w:r w:rsidRPr="00165B05">
        <w:rPr>
          <w:sz w:val="24"/>
          <w:szCs w:val="24"/>
        </w:rPr>
        <w:t>16-19 year</w:t>
      </w:r>
      <w:proofErr w:type="gramEnd"/>
      <w:r w:rsidRPr="00165B05">
        <w:rPr>
          <w:sz w:val="24"/>
          <w:szCs w:val="24"/>
        </w:rPr>
        <w:t xml:space="preserve"> olds are considered.</w:t>
      </w:r>
      <w:r w:rsidR="000A189A">
        <w:rPr>
          <w:sz w:val="24"/>
          <w:szCs w:val="24"/>
        </w:rPr>
        <w:t xml:space="preserve"> </w:t>
      </w:r>
      <w:r w:rsidRPr="00165B05">
        <w:rPr>
          <w:sz w:val="24"/>
          <w:szCs w:val="24"/>
        </w:rPr>
        <w:t xml:space="preserve"> The previous means of identifying the child population, Child Benefit, is no longer usable because the exclusion of some well-off families from eligibility has made it an incomplete count. </w:t>
      </w:r>
      <w:r w:rsidR="000A189A">
        <w:rPr>
          <w:sz w:val="24"/>
          <w:szCs w:val="24"/>
        </w:rPr>
        <w:t xml:space="preserve"> </w:t>
      </w:r>
    </w:p>
    <w:p w14:paraId="52BBFCAA" w14:textId="1A44A56F" w:rsidR="00165B05" w:rsidRDefault="00165B05" w:rsidP="00165B05">
      <w:pPr>
        <w:spacing w:after="0" w:line="240" w:lineRule="auto"/>
        <w:rPr>
          <w:sz w:val="24"/>
          <w:szCs w:val="24"/>
        </w:rPr>
      </w:pPr>
    </w:p>
    <w:p w14:paraId="568B61FF" w14:textId="3C3B6933" w:rsidR="006B625D" w:rsidRDefault="006B625D" w:rsidP="00165B05">
      <w:pPr>
        <w:spacing w:after="0" w:line="240" w:lineRule="auto"/>
        <w:rPr>
          <w:sz w:val="24"/>
          <w:szCs w:val="24"/>
        </w:rPr>
      </w:pPr>
    </w:p>
    <w:p w14:paraId="4E3FA324" w14:textId="2EBE713A" w:rsidR="006B625D" w:rsidRDefault="006B625D" w:rsidP="00BB4C69">
      <w:pPr>
        <w:pStyle w:val="Heading1"/>
      </w:pPr>
      <w:bookmarkStart w:id="12" w:name="_Toc52547009"/>
      <w:bookmarkStart w:id="13" w:name="_Toc52547182"/>
      <w:r>
        <w:lastRenderedPageBreak/>
        <w:t>Appendix B</w:t>
      </w:r>
      <w:r w:rsidR="00FD1025">
        <w:t>:</w:t>
      </w:r>
      <w:r>
        <w:t xml:space="preserve"> Method used by Centre for Research in Social Policy adjust DWP/HMRC’s loca</w:t>
      </w:r>
      <w:r w:rsidR="00EC06DA">
        <w:t>l</w:t>
      </w:r>
      <w:r>
        <w:t xml:space="preserve"> area data on children in low income families to account for housing costs</w:t>
      </w:r>
      <w:bookmarkEnd w:id="12"/>
      <w:bookmarkEnd w:id="13"/>
    </w:p>
    <w:p w14:paraId="4AADA817" w14:textId="031650C0" w:rsidR="006B625D" w:rsidRDefault="006B625D" w:rsidP="00165B05">
      <w:pPr>
        <w:spacing w:after="0" w:line="240" w:lineRule="auto"/>
        <w:rPr>
          <w:b/>
          <w:bCs/>
          <w:sz w:val="24"/>
          <w:szCs w:val="24"/>
        </w:rPr>
      </w:pPr>
    </w:p>
    <w:p w14:paraId="2435C37C" w14:textId="52859580" w:rsidR="006B625D" w:rsidRDefault="006B625D" w:rsidP="006B625D">
      <w:pPr>
        <w:spacing w:after="0" w:line="240" w:lineRule="auto"/>
        <w:rPr>
          <w:sz w:val="24"/>
          <w:szCs w:val="24"/>
        </w:rPr>
      </w:pPr>
      <w:r w:rsidRPr="006B625D">
        <w:rPr>
          <w:sz w:val="24"/>
          <w:szCs w:val="24"/>
        </w:rPr>
        <w:t xml:space="preserve">Our </w:t>
      </w:r>
      <w:r>
        <w:rPr>
          <w:sz w:val="24"/>
          <w:szCs w:val="24"/>
        </w:rPr>
        <w:t>estimates have</w:t>
      </w:r>
      <w:r w:rsidRPr="006B625D">
        <w:rPr>
          <w:sz w:val="24"/>
          <w:szCs w:val="24"/>
        </w:rPr>
        <w:t xml:space="preserve"> </w:t>
      </w:r>
      <w:r>
        <w:rPr>
          <w:sz w:val="24"/>
          <w:szCs w:val="24"/>
        </w:rPr>
        <w:t>adjusted the official BHC</w:t>
      </w:r>
      <w:r w:rsidRPr="006B625D">
        <w:rPr>
          <w:sz w:val="24"/>
          <w:szCs w:val="24"/>
        </w:rPr>
        <w:t xml:space="preserve"> statistics to produce local authority </w:t>
      </w:r>
      <w:r>
        <w:rPr>
          <w:sz w:val="24"/>
          <w:szCs w:val="24"/>
        </w:rPr>
        <w:t xml:space="preserve">and constituency </w:t>
      </w:r>
      <w:r w:rsidRPr="006B625D">
        <w:rPr>
          <w:sz w:val="24"/>
          <w:szCs w:val="24"/>
        </w:rPr>
        <w:t>level estimates of</w:t>
      </w:r>
      <w:r>
        <w:rPr>
          <w:sz w:val="24"/>
          <w:szCs w:val="24"/>
        </w:rPr>
        <w:t xml:space="preserve"> AHC</w:t>
      </w:r>
      <w:r w:rsidRPr="006B625D">
        <w:rPr>
          <w:sz w:val="24"/>
          <w:szCs w:val="24"/>
        </w:rPr>
        <w:t xml:space="preserve"> child poverty rates.</w:t>
      </w:r>
      <w:r w:rsidR="007B3A71">
        <w:rPr>
          <w:sz w:val="24"/>
          <w:szCs w:val="24"/>
        </w:rPr>
        <w:t xml:space="preserve"> </w:t>
      </w:r>
      <w:r w:rsidRPr="006B625D">
        <w:rPr>
          <w:sz w:val="24"/>
          <w:szCs w:val="24"/>
        </w:rPr>
        <w:t xml:space="preserve">To produce these </w:t>
      </w:r>
      <w:proofErr w:type="gramStart"/>
      <w:r w:rsidRPr="006B625D">
        <w:rPr>
          <w:sz w:val="24"/>
          <w:szCs w:val="24"/>
        </w:rPr>
        <w:t>estimates</w:t>
      </w:r>
      <w:proofErr w:type="gramEnd"/>
      <w:r w:rsidRPr="006B625D">
        <w:rPr>
          <w:sz w:val="24"/>
          <w:szCs w:val="24"/>
        </w:rPr>
        <w:t xml:space="preserve"> we combine</w:t>
      </w:r>
      <w:r>
        <w:rPr>
          <w:sz w:val="24"/>
          <w:szCs w:val="24"/>
        </w:rPr>
        <w:t>d</w:t>
      </w:r>
      <w:r w:rsidRPr="006B625D">
        <w:rPr>
          <w:sz w:val="24"/>
          <w:szCs w:val="24"/>
        </w:rPr>
        <w:t xml:space="preserve"> household-level survey data with local area data on average private rent levels. </w:t>
      </w:r>
    </w:p>
    <w:p w14:paraId="6E0DC4C0" w14:textId="2141E0EE" w:rsidR="006B625D" w:rsidRDefault="006B625D" w:rsidP="006B625D">
      <w:pPr>
        <w:spacing w:after="0" w:line="240" w:lineRule="auto"/>
        <w:rPr>
          <w:sz w:val="24"/>
          <w:szCs w:val="24"/>
        </w:rPr>
      </w:pPr>
    </w:p>
    <w:p w14:paraId="130C7733" w14:textId="3717CD29" w:rsidR="00310570" w:rsidRDefault="006B625D" w:rsidP="00310570">
      <w:pPr>
        <w:spacing w:after="0" w:line="240" w:lineRule="auto"/>
        <w:rPr>
          <w:sz w:val="24"/>
          <w:szCs w:val="24"/>
        </w:rPr>
      </w:pPr>
      <w:r>
        <w:rPr>
          <w:sz w:val="24"/>
          <w:szCs w:val="24"/>
        </w:rPr>
        <w:t xml:space="preserve">The first step was to calculate AHC </w:t>
      </w:r>
      <w:r w:rsidR="003B4B91">
        <w:rPr>
          <w:sz w:val="24"/>
          <w:szCs w:val="24"/>
        </w:rPr>
        <w:t>and</w:t>
      </w:r>
      <w:r>
        <w:rPr>
          <w:sz w:val="24"/>
          <w:szCs w:val="24"/>
        </w:rPr>
        <w:t xml:space="preserve"> BHC </w:t>
      </w:r>
      <w:r w:rsidR="003B4B91">
        <w:rPr>
          <w:sz w:val="24"/>
          <w:szCs w:val="24"/>
        </w:rPr>
        <w:t>income</w:t>
      </w:r>
      <w:r>
        <w:rPr>
          <w:sz w:val="24"/>
          <w:szCs w:val="24"/>
        </w:rPr>
        <w:t xml:space="preserve"> for each chi</w:t>
      </w:r>
      <w:r w:rsidR="003B4B91">
        <w:rPr>
          <w:sz w:val="24"/>
          <w:szCs w:val="24"/>
        </w:rPr>
        <w:t>l</w:t>
      </w:r>
      <w:r>
        <w:rPr>
          <w:sz w:val="24"/>
          <w:szCs w:val="24"/>
        </w:rPr>
        <w:t xml:space="preserve">d in Understanding Society, </w:t>
      </w:r>
      <w:r w:rsidR="00310570">
        <w:rPr>
          <w:sz w:val="24"/>
          <w:szCs w:val="24"/>
        </w:rPr>
        <w:t xml:space="preserve">a large UK-wide household survey that includes detailed information on household income as well as information on housing costs. The survey also contains an identifier for the local authority where each member of the sample lives. </w:t>
      </w:r>
    </w:p>
    <w:p w14:paraId="0CEAE740" w14:textId="77777777" w:rsidR="00FC03ED" w:rsidRDefault="00FC03ED" w:rsidP="00165B05">
      <w:pPr>
        <w:spacing w:after="0" w:line="240" w:lineRule="auto"/>
        <w:rPr>
          <w:sz w:val="24"/>
          <w:szCs w:val="24"/>
        </w:rPr>
      </w:pPr>
    </w:p>
    <w:p w14:paraId="0A2499CA" w14:textId="639FAACD" w:rsidR="006B625D" w:rsidRDefault="006B625D" w:rsidP="00165B05">
      <w:pPr>
        <w:spacing w:after="0" w:line="240" w:lineRule="auto"/>
        <w:rPr>
          <w:sz w:val="24"/>
          <w:szCs w:val="24"/>
        </w:rPr>
      </w:pPr>
      <w:r>
        <w:rPr>
          <w:sz w:val="24"/>
          <w:szCs w:val="24"/>
        </w:rPr>
        <w:t xml:space="preserve">We then identified private rent levels in each local authority area, using data from the Valuation Office Agency in England, the Lettings Information Database in Wales, the Rent Service in </w:t>
      </w:r>
      <w:proofErr w:type="gramStart"/>
      <w:r>
        <w:rPr>
          <w:sz w:val="24"/>
          <w:szCs w:val="24"/>
        </w:rPr>
        <w:t>Scotland</w:t>
      </w:r>
      <w:proofErr w:type="gramEnd"/>
      <w:r>
        <w:rPr>
          <w:sz w:val="24"/>
          <w:szCs w:val="24"/>
        </w:rPr>
        <w:t xml:space="preserve"> and </w:t>
      </w:r>
      <w:r w:rsidR="007B3A71" w:rsidRPr="002765DF">
        <w:rPr>
          <w:sz w:val="24"/>
        </w:rPr>
        <w:t xml:space="preserve">the </w:t>
      </w:r>
      <w:r w:rsidR="007B3A71">
        <w:rPr>
          <w:sz w:val="24"/>
          <w:szCs w:val="24"/>
        </w:rPr>
        <w:t>Northern Ireland Housing Executive</w:t>
      </w:r>
      <w:r>
        <w:rPr>
          <w:sz w:val="24"/>
          <w:szCs w:val="24"/>
        </w:rPr>
        <w:t xml:space="preserve"> in Northern Ireland.</w:t>
      </w:r>
      <w:r w:rsidR="00FC03ED">
        <w:rPr>
          <w:sz w:val="24"/>
          <w:szCs w:val="24"/>
        </w:rPr>
        <w:t xml:space="preserve"> While private rents are not the only source of differences in local housing costs, we consider them to be a good indicator, since they account for a greater amount of variation than social rents (whose level are less sensitive to area), and also have a relationship with house prices that helps capture differences in mortgage costs. We tried various indicators of private rent levels, and found that results were very similar regardless of which one we used, so have taken the lower quartile rent for a three bedroom property as </w:t>
      </w:r>
      <w:r w:rsidR="003B4B91">
        <w:rPr>
          <w:sz w:val="24"/>
          <w:szCs w:val="24"/>
        </w:rPr>
        <w:t>an appropriate indicator of a private rent for a low income family with children.</w:t>
      </w:r>
      <w:r w:rsidR="00FC03ED">
        <w:rPr>
          <w:sz w:val="24"/>
          <w:szCs w:val="24"/>
        </w:rPr>
        <w:t xml:space="preserve"> </w:t>
      </w:r>
    </w:p>
    <w:p w14:paraId="5023DD76" w14:textId="7E506363" w:rsidR="00FC03ED" w:rsidRDefault="00FC03ED" w:rsidP="00165B05">
      <w:pPr>
        <w:spacing w:after="0" w:line="240" w:lineRule="auto"/>
        <w:rPr>
          <w:sz w:val="24"/>
          <w:szCs w:val="24"/>
        </w:rPr>
      </w:pPr>
    </w:p>
    <w:p w14:paraId="6D01C9C1" w14:textId="49E79595" w:rsidR="003B4B91" w:rsidRDefault="003B4B91" w:rsidP="00165B05">
      <w:pPr>
        <w:spacing w:after="0" w:line="240" w:lineRule="auto"/>
        <w:rPr>
          <w:sz w:val="24"/>
          <w:szCs w:val="24"/>
        </w:rPr>
      </w:pPr>
      <w:r>
        <w:rPr>
          <w:sz w:val="24"/>
          <w:szCs w:val="24"/>
        </w:rPr>
        <w:t xml:space="preserve">Using these two data sets, we then considered the ratio of AHC to BHC poverty rates for children living in areas with similar rent levels. Specifically, we examined the correlation between private rents by local authority and the AHC/BHC poverty ratio.  This produced the following result, showing </w:t>
      </w:r>
      <w:r w:rsidR="00E73DC6">
        <w:rPr>
          <w:sz w:val="24"/>
          <w:szCs w:val="24"/>
        </w:rPr>
        <w:t xml:space="preserve">that in the 10% of local authorities with the highest private rents, AHC poverty relative to BHC poverty tends to be about 50% higher than in those with the lowest rents. </w:t>
      </w:r>
    </w:p>
    <w:p w14:paraId="54624D65" w14:textId="5A3FF47B" w:rsidR="00E73DC6" w:rsidRDefault="00E73DC6" w:rsidP="00165B05">
      <w:pPr>
        <w:spacing w:after="0" w:line="240" w:lineRule="auto"/>
        <w:rPr>
          <w:sz w:val="24"/>
          <w:szCs w:val="24"/>
        </w:rPr>
      </w:pPr>
    </w:p>
    <w:p w14:paraId="1DB25397" w14:textId="078873E7" w:rsidR="003B4B91" w:rsidRDefault="003B4B91" w:rsidP="00165B05">
      <w:pPr>
        <w:spacing w:after="0" w:line="240" w:lineRule="auto"/>
        <w:rPr>
          <w:sz w:val="24"/>
          <w:szCs w:val="24"/>
        </w:rPr>
      </w:pPr>
    </w:p>
    <w:p w14:paraId="19B059E0" w14:textId="7697310F" w:rsidR="006B625D" w:rsidRDefault="00E73DC6" w:rsidP="00165B05">
      <w:pPr>
        <w:spacing w:after="0" w:line="240" w:lineRule="auto"/>
        <w:rPr>
          <w:sz w:val="24"/>
          <w:szCs w:val="24"/>
        </w:rPr>
      </w:pPr>
      <w:r>
        <w:rPr>
          <w:noProof/>
        </w:rPr>
        <w:lastRenderedPageBreak/>
        <w:drawing>
          <wp:inline distT="0" distB="0" distL="0" distR="0" wp14:anchorId="27EFBF47" wp14:editId="558C0AE0">
            <wp:extent cx="5670550" cy="3303196"/>
            <wp:effectExtent l="19050" t="19050" r="2540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26691" t="22965" r="12963" b="14546"/>
                    <a:stretch/>
                  </pic:blipFill>
                  <pic:spPr bwMode="auto">
                    <a:xfrm>
                      <a:off x="0" y="0"/>
                      <a:ext cx="5686777" cy="3312649"/>
                    </a:xfrm>
                    <a:prstGeom prst="rect">
                      <a:avLst/>
                    </a:prstGeom>
                    <a:ln w="9525" cap="flat" cmpd="sng" algn="ctr">
                      <a:solidFill>
                        <a:srgbClr val="4472C4"/>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142083C" w14:textId="24882DD6" w:rsidR="00E73DC6" w:rsidRDefault="00E73DC6" w:rsidP="00165B05">
      <w:pPr>
        <w:spacing w:after="0" w:line="240" w:lineRule="auto"/>
        <w:rPr>
          <w:sz w:val="24"/>
          <w:szCs w:val="24"/>
        </w:rPr>
      </w:pPr>
    </w:p>
    <w:p w14:paraId="0741F19C" w14:textId="162D38DC" w:rsidR="00E73DC6" w:rsidRDefault="00E73DC6" w:rsidP="00165B05">
      <w:pPr>
        <w:spacing w:after="0" w:line="240" w:lineRule="auto"/>
        <w:rPr>
          <w:sz w:val="24"/>
          <w:szCs w:val="24"/>
        </w:rPr>
      </w:pPr>
      <w:r>
        <w:rPr>
          <w:sz w:val="24"/>
          <w:szCs w:val="24"/>
        </w:rPr>
        <w:t>These ratios were applied to the DWP/HMRC data for BHC child poverty rates in individual local authorities, to produce our estimates of AHC estimates.</w:t>
      </w:r>
      <w:r w:rsidR="0079001C">
        <w:rPr>
          <w:sz w:val="24"/>
          <w:szCs w:val="24"/>
        </w:rPr>
        <w:t xml:space="preserve"> The</w:t>
      </w:r>
      <w:r w:rsidR="00EC06DA">
        <w:rPr>
          <w:sz w:val="24"/>
          <w:szCs w:val="24"/>
        </w:rPr>
        <w:t xml:space="preserve"> </w:t>
      </w:r>
      <w:r w:rsidR="0079001C">
        <w:rPr>
          <w:sz w:val="24"/>
          <w:szCs w:val="24"/>
        </w:rPr>
        <w:t xml:space="preserve">estimates were then </w:t>
      </w:r>
      <w:r w:rsidR="00EC06DA">
        <w:rPr>
          <w:sz w:val="24"/>
          <w:szCs w:val="24"/>
        </w:rPr>
        <w:t xml:space="preserve">calibrated at regional level to </w:t>
      </w:r>
      <w:r w:rsidR="00EC06DA" w:rsidRPr="0079001C">
        <w:rPr>
          <w:sz w:val="24"/>
          <w:szCs w:val="24"/>
        </w:rPr>
        <w:t xml:space="preserve">the </w:t>
      </w:r>
      <w:r w:rsidR="00EC06DA">
        <w:rPr>
          <w:sz w:val="24"/>
          <w:szCs w:val="24"/>
        </w:rPr>
        <w:t xml:space="preserve">official </w:t>
      </w:r>
      <w:r w:rsidR="00EC06DA" w:rsidRPr="0079001C">
        <w:rPr>
          <w:sz w:val="24"/>
          <w:szCs w:val="24"/>
        </w:rPr>
        <w:t xml:space="preserve">estimates </w:t>
      </w:r>
      <w:r w:rsidR="00EC06DA">
        <w:rPr>
          <w:sz w:val="24"/>
          <w:szCs w:val="24"/>
        </w:rPr>
        <w:t xml:space="preserve">of child poverty before housing costs </w:t>
      </w:r>
      <w:r w:rsidR="00EC06DA" w:rsidRPr="0079001C">
        <w:rPr>
          <w:sz w:val="24"/>
          <w:szCs w:val="24"/>
        </w:rPr>
        <w:t xml:space="preserve">from </w:t>
      </w:r>
      <w:r w:rsidR="00EC06DA">
        <w:rPr>
          <w:sz w:val="24"/>
          <w:szCs w:val="24"/>
        </w:rPr>
        <w:t>the DWP Households Below Average Income (</w:t>
      </w:r>
      <w:r w:rsidR="00EC06DA" w:rsidRPr="0079001C">
        <w:rPr>
          <w:sz w:val="24"/>
          <w:szCs w:val="24"/>
        </w:rPr>
        <w:t>HBAI</w:t>
      </w:r>
      <w:r w:rsidR="00EC06DA">
        <w:rPr>
          <w:sz w:val="24"/>
          <w:szCs w:val="24"/>
        </w:rPr>
        <w:t xml:space="preserve">). </w:t>
      </w:r>
    </w:p>
    <w:p w14:paraId="3535D8A1" w14:textId="6DC47001" w:rsidR="0079001C" w:rsidRDefault="0079001C" w:rsidP="00165B05">
      <w:pPr>
        <w:spacing w:after="0" w:line="240" w:lineRule="auto"/>
        <w:rPr>
          <w:sz w:val="24"/>
          <w:szCs w:val="24"/>
        </w:rPr>
      </w:pPr>
    </w:p>
    <w:p w14:paraId="2409B633" w14:textId="1AE85016" w:rsidR="0079001C" w:rsidRDefault="0079001C" w:rsidP="00165B05">
      <w:pPr>
        <w:spacing w:after="0" w:line="240" w:lineRule="auto"/>
        <w:rPr>
          <w:sz w:val="24"/>
          <w:szCs w:val="24"/>
        </w:rPr>
      </w:pPr>
      <w:r>
        <w:rPr>
          <w:sz w:val="24"/>
          <w:szCs w:val="24"/>
        </w:rPr>
        <w:t xml:space="preserve">The DWP/HMRC data on child poverty are produced only for Great Britain, and not for Northern Ireland. However, </w:t>
      </w:r>
      <w:r w:rsidRPr="0079001C">
        <w:rPr>
          <w:sz w:val="24"/>
          <w:szCs w:val="24"/>
        </w:rPr>
        <w:t xml:space="preserve">the Northern Ireland Statistics Agency </w:t>
      </w:r>
      <w:r>
        <w:rPr>
          <w:sz w:val="24"/>
          <w:szCs w:val="24"/>
        </w:rPr>
        <w:t xml:space="preserve">(NISRA) </w:t>
      </w:r>
      <w:r w:rsidRPr="0079001C">
        <w:rPr>
          <w:sz w:val="24"/>
          <w:szCs w:val="24"/>
        </w:rPr>
        <w:t>produced statistics on child poverty at local government district level as part of the 2017 Northern Ireland Multiple Deprivation Measure</w:t>
      </w:r>
      <w:r>
        <w:rPr>
          <w:sz w:val="24"/>
          <w:szCs w:val="24"/>
        </w:rPr>
        <w:t xml:space="preserve"> (NIMDM)</w:t>
      </w:r>
      <w:r w:rsidRPr="0079001C">
        <w:rPr>
          <w:sz w:val="24"/>
          <w:szCs w:val="24"/>
        </w:rPr>
        <w:t>. This use</w:t>
      </w:r>
      <w:r>
        <w:rPr>
          <w:sz w:val="24"/>
          <w:szCs w:val="24"/>
        </w:rPr>
        <w:t>d</w:t>
      </w:r>
      <w:r w:rsidRPr="0079001C">
        <w:rPr>
          <w:sz w:val="24"/>
          <w:szCs w:val="24"/>
        </w:rPr>
        <w:t xml:space="preserve"> administrative data on</w:t>
      </w:r>
      <w:r>
        <w:rPr>
          <w:sz w:val="24"/>
          <w:szCs w:val="24"/>
        </w:rPr>
        <w:t xml:space="preserve"> household</w:t>
      </w:r>
      <w:r w:rsidRPr="0079001C">
        <w:rPr>
          <w:sz w:val="24"/>
          <w:szCs w:val="24"/>
        </w:rPr>
        <w:t xml:space="preserve"> income in a very similar way to the new HMRC/DWP data</w:t>
      </w:r>
      <w:r>
        <w:rPr>
          <w:sz w:val="24"/>
          <w:szCs w:val="24"/>
        </w:rPr>
        <w:t>, and the two sources are therefore comparable</w:t>
      </w:r>
      <w:r w:rsidRPr="0079001C">
        <w:rPr>
          <w:sz w:val="24"/>
          <w:szCs w:val="24"/>
        </w:rPr>
        <w:t xml:space="preserve">. </w:t>
      </w:r>
      <w:r>
        <w:rPr>
          <w:sz w:val="24"/>
          <w:szCs w:val="24"/>
        </w:rPr>
        <w:t xml:space="preserve">We were also able to use </w:t>
      </w:r>
      <w:r w:rsidRPr="0079001C">
        <w:rPr>
          <w:sz w:val="24"/>
          <w:szCs w:val="24"/>
        </w:rPr>
        <w:t>3-year averages of child poverty rates</w:t>
      </w:r>
      <w:r>
        <w:rPr>
          <w:sz w:val="24"/>
          <w:szCs w:val="24"/>
        </w:rPr>
        <w:t xml:space="preserve"> produced by NISRA to estimate the rates for </w:t>
      </w:r>
      <w:r w:rsidRPr="0079001C">
        <w:rPr>
          <w:sz w:val="24"/>
          <w:szCs w:val="24"/>
        </w:rPr>
        <w:t>2014/15 and 2015/16,</w:t>
      </w:r>
      <w:r>
        <w:rPr>
          <w:sz w:val="24"/>
          <w:szCs w:val="24"/>
        </w:rPr>
        <w:t xml:space="preserve"> in addition to</w:t>
      </w:r>
      <w:r w:rsidRPr="0079001C">
        <w:rPr>
          <w:sz w:val="24"/>
          <w:szCs w:val="24"/>
        </w:rPr>
        <w:t xml:space="preserve"> the NIMDM data for 2016/17. </w:t>
      </w:r>
      <w:r>
        <w:rPr>
          <w:sz w:val="24"/>
          <w:szCs w:val="24"/>
        </w:rPr>
        <w:t xml:space="preserve">Unfortunately, no data for Northern Ireland were available for 2017/18 and 2018/19. We therefore used </w:t>
      </w:r>
      <w:r w:rsidRPr="0079001C">
        <w:rPr>
          <w:sz w:val="24"/>
          <w:szCs w:val="24"/>
        </w:rPr>
        <w:t xml:space="preserve">the regional estimates </w:t>
      </w:r>
      <w:r w:rsidR="00EC06DA">
        <w:rPr>
          <w:sz w:val="24"/>
          <w:szCs w:val="24"/>
        </w:rPr>
        <w:t xml:space="preserve">of child poverty before housing costs </w:t>
      </w:r>
      <w:r w:rsidRPr="0079001C">
        <w:rPr>
          <w:sz w:val="24"/>
          <w:szCs w:val="24"/>
        </w:rPr>
        <w:t>from HBAI</w:t>
      </w:r>
      <w:r w:rsidR="00EC06DA">
        <w:rPr>
          <w:sz w:val="24"/>
          <w:szCs w:val="24"/>
        </w:rPr>
        <w:t xml:space="preserve"> </w:t>
      </w:r>
      <w:r w:rsidRPr="0079001C">
        <w:rPr>
          <w:sz w:val="24"/>
          <w:szCs w:val="24"/>
        </w:rPr>
        <w:t xml:space="preserve">to produce weighted estimates by </w:t>
      </w:r>
      <w:r>
        <w:rPr>
          <w:sz w:val="24"/>
          <w:szCs w:val="24"/>
        </w:rPr>
        <w:t>local authority in Northern Ireland</w:t>
      </w:r>
      <w:r w:rsidRPr="0079001C">
        <w:rPr>
          <w:sz w:val="24"/>
          <w:szCs w:val="24"/>
        </w:rPr>
        <w:t xml:space="preserve"> for 2017/18 and 2018/19 based on the local distribution in the previous years.</w:t>
      </w:r>
      <w:r>
        <w:rPr>
          <w:sz w:val="24"/>
          <w:szCs w:val="24"/>
        </w:rPr>
        <w:t xml:space="preserve"> With this in mind, given that the initial source of data on BHC child poverty for Northern Ireland is less robust than the HMRC/DWP data for Great Britain,  the estimates should be treated with caution particularly in the most recent years. </w:t>
      </w:r>
    </w:p>
    <w:p w14:paraId="057F61F6" w14:textId="77777777" w:rsidR="00E73DC6" w:rsidRDefault="00E73DC6" w:rsidP="00E75C8B"/>
    <w:p w14:paraId="17532DBB" w14:textId="0D89F643" w:rsidR="00E73DC6" w:rsidRDefault="00E73DC6" w:rsidP="00E75C8B">
      <w:r>
        <w:t xml:space="preserve">We do not have data on </w:t>
      </w:r>
      <w:r w:rsidR="009B597E">
        <w:t>local rent levels</w:t>
      </w:r>
      <w:r>
        <w:t xml:space="preserve"> by Westminster parliamentary constituency, but have used the above ratios for the local authority in which each is situated to make the same transformation from BHC to AHC for the constituency data. Most Westminster parliamentary constituencies are located in an individual local authority, and all but six have the majority of their wards in one local authority, so we have used the rent in that local authority as an estimate of local housing costs.</w:t>
      </w:r>
      <w:r w:rsidR="00BB5E41">
        <w:t xml:space="preserve"> In the six where no local authority contains </w:t>
      </w:r>
      <w:proofErr w:type="gramStart"/>
      <w:r w:rsidR="00BB5E41">
        <w:t>a majority of</w:t>
      </w:r>
      <w:proofErr w:type="gramEnd"/>
      <w:r w:rsidR="00BB5E41">
        <w:t xml:space="preserve"> wards, we have used data for the local authority containing the greatest number of the constituency’s wards. These cases are all in rural areas, where there are not wide variations in rent levels across the local authorities concerned.</w:t>
      </w:r>
      <w:r w:rsidR="009B597E">
        <w:t xml:space="preserve"> We </w:t>
      </w:r>
      <w:r w:rsidR="009B597E">
        <w:lastRenderedPageBreak/>
        <w:t xml:space="preserve">then carried out an additional stage of modelling, where the ratios calculated for local authorities were adjusted based on the median house prices for parliamentary constituencies. </w:t>
      </w:r>
      <w:r w:rsidR="00503FF4">
        <w:t xml:space="preserve">Median house prices </w:t>
      </w:r>
      <w:r w:rsidR="00FA342B">
        <w:t xml:space="preserve">were </w:t>
      </w:r>
      <w:r w:rsidR="00FA342B">
        <w:rPr>
          <w:rFonts w:ascii="Arial" w:hAnsi="Arial" w:cs="Arial"/>
          <w:color w:val="222222"/>
        </w:rPr>
        <w:t xml:space="preserve">derived from the ONS house price statistics for small areas in England and Wales, and the equivalent from Registers for Scotland. This </w:t>
      </w:r>
      <w:r w:rsidR="00503FF4">
        <w:t>give</w:t>
      </w:r>
      <w:r w:rsidR="00FA342B">
        <w:t>s</w:t>
      </w:r>
      <w:r w:rsidR="00503FF4">
        <w:t xml:space="preserve"> a broad picture of local variation in housing costs</w:t>
      </w:r>
      <w:r w:rsidR="00FA342B">
        <w:t>. U</w:t>
      </w:r>
      <w:r w:rsidR="00503FF4">
        <w:t xml:space="preserve">nlike the private rent measure used in the main analysis, </w:t>
      </w:r>
      <w:r w:rsidR="00FA342B">
        <w:t xml:space="preserve">houses price data </w:t>
      </w:r>
      <w:r w:rsidR="00503FF4">
        <w:t>do not account for geographical variation in the distribution</w:t>
      </w:r>
      <w:r w:rsidR="00FC1018">
        <w:t xml:space="preserve"> of</w:t>
      </w:r>
      <w:r w:rsidR="00503FF4">
        <w:t xml:space="preserve"> property types.</w:t>
      </w:r>
      <w:r w:rsidR="00FC1018">
        <w:t xml:space="preserve"> However, the two-stage approach for producing the constituency estimates allowed us to c</w:t>
      </w:r>
      <w:r w:rsidR="00503FF4">
        <w:t>ombin</w:t>
      </w:r>
      <w:r w:rsidR="00FC1018">
        <w:t>e</w:t>
      </w:r>
      <w:r w:rsidR="00AC6545">
        <w:t>, on the one hand,</w:t>
      </w:r>
      <w:r w:rsidR="00FC1018">
        <w:t xml:space="preserve"> </w:t>
      </w:r>
      <w:r w:rsidR="00503FF4">
        <w:t xml:space="preserve">the more precise measure of housing costs </w:t>
      </w:r>
      <w:r w:rsidR="00FC1018">
        <w:t xml:space="preserve">(local rents) </w:t>
      </w:r>
      <w:r w:rsidR="00AC6545">
        <w:t>in geographical areas  (local authorities) that only imperfectly approximate the situation at constituency level, and on the other hand a</w:t>
      </w:r>
      <w:r w:rsidR="00FC1018">
        <w:t xml:space="preserve"> less precise measure of housing costs (median house prices)</w:t>
      </w:r>
      <w:r w:rsidR="00AC6545">
        <w:t xml:space="preserve"> at a geographical level (</w:t>
      </w:r>
      <w:r w:rsidR="00FC1018">
        <w:t>constituenc</w:t>
      </w:r>
      <w:r w:rsidR="00AC6545">
        <w:t xml:space="preserve">y) that precisely matches the geography being reported on. This combination helps refine these </w:t>
      </w:r>
      <w:r w:rsidR="00FC1018">
        <w:t>estimates.</w:t>
      </w:r>
      <w:r w:rsidR="00AC6545">
        <w:t xml:space="preserve"> (However, in Northern Ireland, we do not have the house price data, so here the estimate draws only on the local authority rent data for housing costs.)</w:t>
      </w:r>
      <w:r w:rsidR="00FC1018">
        <w:t xml:space="preserve"> </w:t>
      </w:r>
    </w:p>
    <w:p w14:paraId="1E8D0F14" w14:textId="06EF1740" w:rsidR="00E73DC6" w:rsidRPr="006B625D" w:rsidRDefault="00BB5E41" w:rsidP="00165B05">
      <w:pPr>
        <w:spacing w:after="0" w:line="240" w:lineRule="auto"/>
        <w:rPr>
          <w:sz w:val="24"/>
          <w:szCs w:val="24"/>
        </w:rPr>
      </w:pPr>
      <w:r>
        <w:rPr>
          <w:sz w:val="24"/>
          <w:szCs w:val="24"/>
        </w:rPr>
        <w:t xml:space="preserve">The above process is applied for each of the years in which child poverty is reported, using contemporaneous data on both household income and </w:t>
      </w:r>
      <w:r w:rsidR="009B597E">
        <w:rPr>
          <w:sz w:val="24"/>
          <w:szCs w:val="24"/>
        </w:rPr>
        <w:t>housing</w:t>
      </w:r>
      <w:r>
        <w:rPr>
          <w:sz w:val="24"/>
          <w:szCs w:val="24"/>
        </w:rPr>
        <w:t xml:space="preserve"> costs in each case.</w:t>
      </w:r>
    </w:p>
    <w:sectPr w:rsidR="00E73DC6" w:rsidRPr="006B625D">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C2D39" w14:textId="77777777" w:rsidR="004F797F" w:rsidRDefault="004F797F" w:rsidP="00AD4FBC">
      <w:pPr>
        <w:spacing w:after="0" w:line="240" w:lineRule="auto"/>
      </w:pPr>
      <w:r>
        <w:separator/>
      </w:r>
    </w:p>
  </w:endnote>
  <w:endnote w:type="continuationSeparator" w:id="0">
    <w:p w14:paraId="4222F504" w14:textId="77777777" w:rsidR="004F797F" w:rsidRDefault="004F797F" w:rsidP="00AD4FBC">
      <w:pPr>
        <w:spacing w:after="0" w:line="240" w:lineRule="auto"/>
      </w:pPr>
      <w:r>
        <w:continuationSeparator/>
      </w:r>
    </w:p>
  </w:endnote>
  <w:endnote w:type="continuationNotice" w:id="1">
    <w:p w14:paraId="72D69025" w14:textId="77777777" w:rsidR="004F797F" w:rsidRDefault="004F79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1395423"/>
      <w:docPartObj>
        <w:docPartGallery w:val="Page Numbers (Bottom of Page)"/>
        <w:docPartUnique/>
      </w:docPartObj>
    </w:sdtPr>
    <w:sdtEndPr>
      <w:rPr>
        <w:noProof/>
      </w:rPr>
    </w:sdtEndPr>
    <w:sdtContent>
      <w:p w14:paraId="1CEB4415" w14:textId="77777777" w:rsidR="00FD1025" w:rsidRDefault="00FD1025" w:rsidP="00FD10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9FA469" w14:textId="77777777" w:rsidR="00FD1025" w:rsidRDefault="00FD1025" w:rsidP="00FD10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7208502"/>
      <w:docPartObj>
        <w:docPartGallery w:val="Page Numbers (Bottom of Page)"/>
        <w:docPartUnique/>
      </w:docPartObj>
    </w:sdtPr>
    <w:sdtEndPr>
      <w:rPr>
        <w:noProof/>
        <w:sz w:val="24"/>
        <w:szCs w:val="24"/>
      </w:rPr>
    </w:sdtEndPr>
    <w:sdtContent>
      <w:p w14:paraId="3BD7209F" w14:textId="44EAB60A" w:rsidR="00FD1025" w:rsidRPr="00D27D7E" w:rsidRDefault="00FD1025" w:rsidP="00D27D7E">
        <w:pPr>
          <w:pStyle w:val="Footer"/>
          <w:jc w:val="center"/>
          <w:rPr>
            <w:sz w:val="24"/>
            <w:szCs w:val="24"/>
          </w:rPr>
        </w:pPr>
        <w:r w:rsidRPr="00D27D7E">
          <w:rPr>
            <w:sz w:val="24"/>
            <w:szCs w:val="24"/>
          </w:rPr>
          <w:fldChar w:fldCharType="begin"/>
        </w:r>
        <w:r w:rsidRPr="00D27D7E">
          <w:rPr>
            <w:sz w:val="24"/>
            <w:szCs w:val="24"/>
          </w:rPr>
          <w:instrText xml:space="preserve"> PAGE   \* MERGEFORMAT </w:instrText>
        </w:r>
        <w:r w:rsidRPr="00D27D7E">
          <w:rPr>
            <w:sz w:val="24"/>
            <w:szCs w:val="24"/>
          </w:rPr>
          <w:fldChar w:fldCharType="separate"/>
        </w:r>
        <w:r w:rsidRPr="00D27D7E">
          <w:rPr>
            <w:noProof/>
            <w:sz w:val="24"/>
            <w:szCs w:val="24"/>
          </w:rPr>
          <w:t>2</w:t>
        </w:r>
        <w:r w:rsidRPr="00D27D7E">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9C3A5" w14:textId="77777777" w:rsidR="004F797F" w:rsidRDefault="004F797F" w:rsidP="00AD4FBC">
      <w:pPr>
        <w:spacing w:after="0" w:line="240" w:lineRule="auto"/>
      </w:pPr>
      <w:r>
        <w:separator/>
      </w:r>
    </w:p>
  </w:footnote>
  <w:footnote w:type="continuationSeparator" w:id="0">
    <w:p w14:paraId="041BB71F" w14:textId="77777777" w:rsidR="004F797F" w:rsidRDefault="004F797F" w:rsidP="00AD4FBC">
      <w:pPr>
        <w:spacing w:after="0" w:line="240" w:lineRule="auto"/>
      </w:pPr>
      <w:r>
        <w:continuationSeparator/>
      </w:r>
    </w:p>
  </w:footnote>
  <w:footnote w:type="continuationNotice" w:id="1">
    <w:p w14:paraId="3E8BB280" w14:textId="77777777" w:rsidR="004F797F" w:rsidRDefault="004F79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008CD" w14:textId="77777777" w:rsidR="00FD1025" w:rsidRDefault="00FD1025" w:rsidP="00FD1025">
    <w:pPr>
      <w:pStyle w:val="Header"/>
    </w:pPr>
    <w:r>
      <w:rPr>
        <w:noProof/>
      </w:rPr>
      <w:drawing>
        <wp:anchor distT="0" distB="0" distL="114300" distR="114300" simplePos="0" relativeHeight="251659264" behindDoc="0" locked="0" layoutInCell="1" allowOverlap="1" wp14:anchorId="22A20280" wp14:editId="3C46B2E8">
          <wp:simplePos x="0" y="0"/>
          <wp:positionH relativeFrom="column">
            <wp:posOffset>4781550</wp:posOffset>
          </wp:positionH>
          <wp:positionV relativeFrom="paragraph">
            <wp:posOffset>-238760</wp:posOffset>
          </wp:positionV>
          <wp:extent cx="1695450" cy="744220"/>
          <wp:effectExtent l="0" t="0" r="0" b="0"/>
          <wp:wrapNone/>
          <wp:docPr id="10" name="Picture 10" descr="LU_CRSP Research Centre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_CRSP Research Centre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7442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6EA12" w14:textId="77777777" w:rsidR="00FD1025" w:rsidRDefault="00FD1025" w:rsidP="00FD1025">
    <w:pPr>
      <w:pStyle w:val="Header"/>
    </w:pPr>
    <w:r>
      <w:rPr>
        <w:noProof/>
      </w:rPr>
      <w:drawing>
        <wp:anchor distT="0" distB="0" distL="114300" distR="114300" simplePos="0" relativeHeight="251660288" behindDoc="0" locked="0" layoutInCell="1" allowOverlap="1" wp14:anchorId="7F4A2FEA" wp14:editId="5C1D28B4">
          <wp:simplePos x="0" y="0"/>
          <wp:positionH relativeFrom="column">
            <wp:posOffset>4438650</wp:posOffset>
          </wp:positionH>
          <wp:positionV relativeFrom="paragraph">
            <wp:posOffset>189865</wp:posOffset>
          </wp:positionV>
          <wp:extent cx="1695450" cy="744220"/>
          <wp:effectExtent l="0" t="0" r="0" b="0"/>
          <wp:wrapNone/>
          <wp:docPr id="12" name="Picture 12" descr="LU_CRSP Research Centre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_CRSP Research Centre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7442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06C26" w14:textId="72A7E68D" w:rsidR="00E75C8B" w:rsidRDefault="00E75C8B" w:rsidP="00FD10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220AE" w14:textId="77777777" w:rsidR="00FD1025" w:rsidRDefault="00FD1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80F7D"/>
    <w:multiLevelType w:val="hybridMultilevel"/>
    <w:tmpl w:val="2A92AE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085987"/>
    <w:multiLevelType w:val="hybridMultilevel"/>
    <w:tmpl w:val="9EBE6494"/>
    <w:lvl w:ilvl="0" w:tplc="E8581978">
      <w:start w:val="1"/>
      <w:numFmt w:val="bullet"/>
      <w:lvlText w:val="•"/>
      <w:lvlJc w:val="left"/>
      <w:pPr>
        <w:tabs>
          <w:tab w:val="num" w:pos="720"/>
        </w:tabs>
        <w:ind w:left="720" w:hanging="360"/>
      </w:pPr>
      <w:rPr>
        <w:rFonts w:ascii="Arial" w:hAnsi="Arial" w:hint="default"/>
      </w:rPr>
    </w:lvl>
    <w:lvl w:ilvl="1" w:tplc="5B7AD18A">
      <w:numFmt w:val="bullet"/>
      <w:lvlText w:val="-"/>
      <w:lvlJc w:val="left"/>
      <w:pPr>
        <w:tabs>
          <w:tab w:val="num" w:pos="1440"/>
        </w:tabs>
        <w:ind w:left="1440" w:hanging="360"/>
      </w:pPr>
      <w:rPr>
        <w:rFonts w:ascii="Times New Roman" w:hAnsi="Times New Roman" w:hint="default"/>
      </w:rPr>
    </w:lvl>
    <w:lvl w:ilvl="2" w:tplc="3F2A7C46" w:tentative="1">
      <w:start w:val="1"/>
      <w:numFmt w:val="bullet"/>
      <w:lvlText w:val="•"/>
      <w:lvlJc w:val="left"/>
      <w:pPr>
        <w:tabs>
          <w:tab w:val="num" w:pos="2160"/>
        </w:tabs>
        <w:ind w:left="2160" w:hanging="360"/>
      </w:pPr>
      <w:rPr>
        <w:rFonts w:ascii="Arial" w:hAnsi="Arial" w:hint="default"/>
      </w:rPr>
    </w:lvl>
    <w:lvl w:ilvl="3" w:tplc="00565384" w:tentative="1">
      <w:start w:val="1"/>
      <w:numFmt w:val="bullet"/>
      <w:lvlText w:val="•"/>
      <w:lvlJc w:val="left"/>
      <w:pPr>
        <w:tabs>
          <w:tab w:val="num" w:pos="2880"/>
        </w:tabs>
        <w:ind w:left="2880" w:hanging="360"/>
      </w:pPr>
      <w:rPr>
        <w:rFonts w:ascii="Arial" w:hAnsi="Arial" w:hint="default"/>
      </w:rPr>
    </w:lvl>
    <w:lvl w:ilvl="4" w:tplc="7F0A4828" w:tentative="1">
      <w:start w:val="1"/>
      <w:numFmt w:val="bullet"/>
      <w:lvlText w:val="•"/>
      <w:lvlJc w:val="left"/>
      <w:pPr>
        <w:tabs>
          <w:tab w:val="num" w:pos="3600"/>
        </w:tabs>
        <w:ind w:left="3600" w:hanging="360"/>
      </w:pPr>
      <w:rPr>
        <w:rFonts w:ascii="Arial" w:hAnsi="Arial" w:hint="default"/>
      </w:rPr>
    </w:lvl>
    <w:lvl w:ilvl="5" w:tplc="A18E5DD0" w:tentative="1">
      <w:start w:val="1"/>
      <w:numFmt w:val="bullet"/>
      <w:lvlText w:val="•"/>
      <w:lvlJc w:val="left"/>
      <w:pPr>
        <w:tabs>
          <w:tab w:val="num" w:pos="4320"/>
        </w:tabs>
        <w:ind w:left="4320" w:hanging="360"/>
      </w:pPr>
      <w:rPr>
        <w:rFonts w:ascii="Arial" w:hAnsi="Arial" w:hint="default"/>
      </w:rPr>
    </w:lvl>
    <w:lvl w:ilvl="6" w:tplc="830E4B84" w:tentative="1">
      <w:start w:val="1"/>
      <w:numFmt w:val="bullet"/>
      <w:lvlText w:val="•"/>
      <w:lvlJc w:val="left"/>
      <w:pPr>
        <w:tabs>
          <w:tab w:val="num" w:pos="5040"/>
        </w:tabs>
        <w:ind w:left="5040" w:hanging="360"/>
      </w:pPr>
      <w:rPr>
        <w:rFonts w:ascii="Arial" w:hAnsi="Arial" w:hint="default"/>
      </w:rPr>
    </w:lvl>
    <w:lvl w:ilvl="7" w:tplc="70A28694" w:tentative="1">
      <w:start w:val="1"/>
      <w:numFmt w:val="bullet"/>
      <w:lvlText w:val="•"/>
      <w:lvlJc w:val="left"/>
      <w:pPr>
        <w:tabs>
          <w:tab w:val="num" w:pos="5760"/>
        </w:tabs>
        <w:ind w:left="5760" w:hanging="360"/>
      </w:pPr>
      <w:rPr>
        <w:rFonts w:ascii="Arial" w:hAnsi="Arial" w:hint="default"/>
      </w:rPr>
    </w:lvl>
    <w:lvl w:ilvl="8" w:tplc="3E06D25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7A66FF9"/>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8E54952"/>
    <w:multiLevelType w:val="hybridMultilevel"/>
    <w:tmpl w:val="0C5C9A52"/>
    <w:lvl w:ilvl="0" w:tplc="516E464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3241A8"/>
    <w:multiLevelType w:val="hybridMultilevel"/>
    <w:tmpl w:val="FBCA3CB6"/>
    <w:lvl w:ilvl="0" w:tplc="54A485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3E709F"/>
    <w:multiLevelType w:val="hybridMultilevel"/>
    <w:tmpl w:val="0E2E6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C0528F"/>
    <w:multiLevelType w:val="multilevel"/>
    <w:tmpl w:val="815409EC"/>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0"/>
  </w:num>
  <w:num w:numId="3">
    <w:abstractNumId w:val="3"/>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07D"/>
    <w:rsid w:val="00002AAF"/>
    <w:rsid w:val="00010317"/>
    <w:rsid w:val="000128E1"/>
    <w:rsid w:val="00015EAD"/>
    <w:rsid w:val="000327E4"/>
    <w:rsid w:val="00043E7D"/>
    <w:rsid w:val="0008506F"/>
    <w:rsid w:val="000852C6"/>
    <w:rsid w:val="00094489"/>
    <w:rsid w:val="000A189A"/>
    <w:rsid w:val="000A3D2C"/>
    <w:rsid w:val="000A5C69"/>
    <w:rsid w:val="000B732E"/>
    <w:rsid w:val="000C25C8"/>
    <w:rsid w:val="000D4902"/>
    <w:rsid w:val="000F308C"/>
    <w:rsid w:val="0012184E"/>
    <w:rsid w:val="001237AA"/>
    <w:rsid w:val="001374B0"/>
    <w:rsid w:val="00165B05"/>
    <w:rsid w:val="001751AC"/>
    <w:rsid w:val="001800F3"/>
    <w:rsid w:val="001921C2"/>
    <w:rsid w:val="0019396F"/>
    <w:rsid w:val="001B1B5E"/>
    <w:rsid w:val="001B29D7"/>
    <w:rsid w:val="001D2DC3"/>
    <w:rsid w:val="001F13FC"/>
    <w:rsid w:val="0020607D"/>
    <w:rsid w:val="00210CCF"/>
    <w:rsid w:val="00211A9F"/>
    <w:rsid w:val="0021651D"/>
    <w:rsid w:val="00244315"/>
    <w:rsid w:val="00244B5F"/>
    <w:rsid w:val="002765DF"/>
    <w:rsid w:val="00276CFF"/>
    <w:rsid w:val="00277E44"/>
    <w:rsid w:val="00277F20"/>
    <w:rsid w:val="002941FE"/>
    <w:rsid w:val="002A4073"/>
    <w:rsid w:val="002B6DF6"/>
    <w:rsid w:val="002D11DC"/>
    <w:rsid w:val="002E4DBD"/>
    <w:rsid w:val="002F24C7"/>
    <w:rsid w:val="002F46BD"/>
    <w:rsid w:val="00310570"/>
    <w:rsid w:val="00313C8D"/>
    <w:rsid w:val="003B4B91"/>
    <w:rsid w:val="003C0148"/>
    <w:rsid w:val="003E69C4"/>
    <w:rsid w:val="00412F6C"/>
    <w:rsid w:val="00425C54"/>
    <w:rsid w:val="0045483D"/>
    <w:rsid w:val="004875F5"/>
    <w:rsid w:val="004C22A6"/>
    <w:rsid w:val="004F797F"/>
    <w:rsid w:val="00503FF4"/>
    <w:rsid w:val="00504CF4"/>
    <w:rsid w:val="00522907"/>
    <w:rsid w:val="005275D3"/>
    <w:rsid w:val="0053773A"/>
    <w:rsid w:val="00545B7C"/>
    <w:rsid w:val="005463C0"/>
    <w:rsid w:val="00573E06"/>
    <w:rsid w:val="005753DB"/>
    <w:rsid w:val="005C4B87"/>
    <w:rsid w:val="005D0440"/>
    <w:rsid w:val="005D1E6C"/>
    <w:rsid w:val="005E305C"/>
    <w:rsid w:val="00620798"/>
    <w:rsid w:val="006240FD"/>
    <w:rsid w:val="00642ADC"/>
    <w:rsid w:val="00644DF8"/>
    <w:rsid w:val="00651CA4"/>
    <w:rsid w:val="00662B0E"/>
    <w:rsid w:val="006B0220"/>
    <w:rsid w:val="006B23B4"/>
    <w:rsid w:val="006B2A81"/>
    <w:rsid w:val="006B625D"/>
    <w:rsid w:val="006C4B22"/>
    <w:rsid w:val="006C5B15"/>
    <w:rsid w:val="006C6640"/>
    <w:rsid w:val="006D4F2E"/>
    <w:rsid w:val="006F0E21"/>
    <w:rsid w:val="006F2D78"/>
    <w:rsid w:val="006F34AC"/>
    <w:rsid w:val="006F49A1"/>
    <w:rsid w:val="006F6309"/>
    <w:rsid w:val="00706A19"/>
    <w:rsid w:val="0071032A"/>
    <w:rsid w:val="00710E82"/>
    <w:rsid w:val="00712D81"/>
    <w:rsid w:val="00750D4A"/>
    <w:rsid w:val="00765450"/>
    <w:rsid w:val="00765E25"/>
    <w:rsid w:val="00787A65"/>
    <w:rsid w:val="0079001C"/>
    <w:rsid w:val="0079714B"/>
    <w:rsid w:val="00797D5C"/>
    <w:rsid w:val="007A6E48"/>
    <w:rsid w:val="007B3A71"/>
    <w:rsid w:val="007B5D92"/>
    <w:rsid w:val="007E0337"/>
    <w:rsid w:val="007E4062"/>
    <w:rsid w:val="00852A7E"/>
    <w:rsid w:val="00860574"/>
    <w:rsid w:val="008736D2"/>
    <w:rsid w:val="008919F3"/>
    <w:rsid w:val="008A4B38"/>
    <w:rsid w:val="008A64EE"/>
    <w:rsid w:val="008C7B78"/>
    <w:rsid w:val="008D1414"/>
    <w:rsid w:val="008D3091"/>
    <w:rsid w:val="008E0747"/>
    <w:rsid w:val="00901E8E"/>
    <w:rsid w:val="00911F8E"/>
    <w:rsid w:val="00912A99"/>
    <w:rsid w:val="00925299"/>
    <w:rsid w:val="009346E8"/>
    <w:rsid w:val="009352BC"/>
    <w:rsid w:val="00936F50"/>
    <w:rsid w:val="00943DFE"/>
    <w:rsid w:val="009852FE"/>
    <w:rsid w:val="00986482"/>
    <w:rsid w:val="009B597E"/>
    <w:rsid w:val="009C0772"/>
    <w:rsid w:val="009C5995"/>
    <w:rsid w:val="009C6647"/>
    <w:rsid w:val="009E28C2"/>
    <w:rsid w:val="009F3434"/>
    <w:rsid w:val="00A154FE"/>
    <w:rsid w:val="00A4090E"/>
    <w:rsid w:val="00A64906"/>
    <w:rsid w:val="00A71C5D"/>
    <w:rsid w:val="00A82943"/>
    <w:rsid w:val="00A87DEB"/>
    <w:rsid w:val="00AB3761"/>
    <w:rsid w:val="00AC6545"/>
    <w:rsid w:val="00AD01DF"/>
    <w:rsid w:val="00AD4FBC"/>
    <w:rsid w:val="00AE1B31"/>
    <w:rsid w:val="00AF16FD"/>
    <w:rsid w:val="00B5197B"/>
    <w:rsid w:val="00B6118C"/>
    <w:rsid w:val="00B7470E"/>
    <w:rsid w:val="00BB4C69"/>
    <w:rsid w:val="00BB5E41"/>
    <w:rsid w:val="00BC7B60"/>
    <w:rsid w:val="00BD7D02"/>
    <w:rsid w:val="00BE779F"/>
    <w:rsid w:val="00BF1582"/>
    <w:rsid w:val="00C03FE2"/>
    <w:rsid w:val="00C445C2"/>
    <w:rsid w:val="00C44973"/>
    <w:rsid w:val="00C559F0"/>
    <w:rsid w:val="00C7490B"/>
    <w:rsid w:val="00C97C2A"/>
    <w:rsid w:val="00CA70C5"/>
    <w:rsid w:val="00CB4F37"/>
    <w:rsid w:val="00D03518"/>
    <w:rsid w:val="00D23B9C"/>
    <w:rsid w:val="00D27D7E"/>
    <w:rsid w:val="00D51443"/>
    <w:rsid w:val="00D63063"/>
    <w:rsid w:val="00D65B88"/>
    <w:rsid w:val="00D97CCC"/>
    <w:rsid w:val="00DA322C"/>
    <w:rsid w:val="00DB3EC5"/>
    <w:rsid w:val="00DD17F6"/>
    <w:rsid w:val="00DE55D9"/>
    <w:rsid w:val="00E04ED3"/>
    <w:rsid w:val="00E315C2"/>
    <w:rsid w:val="00E40271"/>
    <w:rsid w:val="00E40D88"/>
    <w:rsid w:val="00E45391"/>
    <w:rsid w:val="00E4605A"/>
    <w:rsid w:val="00E702AE"/>
    <w:rsid w:val="00E730A0"/>
    <w:rsid w:val="00E73DC6"/>
    <w:rsid w:val="00E75C8B"/>
    <w:rsid w:val="00EC06DA"/>
    <w:rsid w:val="00ED181A"/>
    <w:rsid w:val="00ED1AFF"/>
    <w:rsid w:val="00ED301C"/>
    <w:rsid w:val="00EE6659"/>
    <w:rsid w:val="00EF1539"/>
    <w:rsid w:val="00F34895"/>
    <w:rsid w:val="00F47171"/>
    <w:rsid w:val="00F70EE3"/>
    <w:rsid w:val="00F82A71"/>
    <w:rsid w:val="00FA342B"/>
    <w:rsid w:val="00FB3A71"/>
    <w:rsid w:val="00FC03ED"/>
    <w:rsid w:val="00FC1018"/>
    <w:rsid w:val="00FD1025"/>
    <w:rsid w:val="00FD7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5639"/>
  <w15:chartTrackingRefBased/>
  <w15:docId w15:val="{A284B9E7-0162-4D43-972E-E81A21DD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4C69"/>
    <w:pPr>
      <w:keepNext/>
      <w:keepLines/>
      <w:numPr>
        <w:numId w:val="6"/>
      </w:numPr>
      <w:spacing w:before="240" w:after="0"/>
      <w:outlineLvl w:val="0"/>
    </w:pPr>
    <w:rPr>
      <w:rFonts w:asciiTheme="majorHAnsi" w:eastAsiaTheme="majorEastAsia" w:hAnsiTheme="majorHAnsi" w:cstheme="majorBidi"/>
      <w:b/>
      <w:bCs/>
      <w:color w:val="660066"/>
      <w:sz w:val="32"/>
      <w:szCs w:val="32"/>
    </w:rPr>
  </w:style>
  <w:style w:type="paragraph" w:styleId="Heading2">
    <w:name w:val="heading 2"/>
    <w:basedOn w:val="Normal"/>
    <w:next w:val="Normal"/>
    <w:link w:val="Heading2Char"/>
    <w:uiPriority w:val="9"/>
    <w:unhideWhenUsed/>
    <w:qFormat/>
    <w:rsid w:val="00BB4C69"/>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B4C69"/>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B4C69"/>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B4C69"/>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B4C69"/>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B4C69"/>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B4C69"/>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B4C69"/>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05C"/>
    <w:pPr>
      <w:ind w:left="720"/>
      <w:contextualSpacing/>
    </w:pPr>
  </w:style>
  <w:style w:type="character" w:styleId="CommentReference">
    <w:name w:val="annotation reference"/>
    <w:basedOn w:val="DefaultParagraphFont"/>
    <w:uiPriority w:val="99"/>
    <w:semiHidden/>
    <w:unhideWhenUsed/>
    <w:rsid w:val="00901E8E"/>
    <w:rPr>
      <w:sz w:val="16"/>
      <w:szCs w:val="16"/>
    </w:rPr>
  </w:style>
  <w:style w:type="paragraph" w:styleId="CommentText">
    <w:name w:val="annotation text"/>
    <w:basedOn w:val="Normal"/>
    <w:link w:val="CommentTextChar"/>
    <w:uiPriority w:val="99"/>
    <w:semiHidden/>
    <w:unhideWhenUsed/>
    <w:rsid w:val="00901E8E"/>
    <w:pPr>
      <w:spacing w:line="240" w:lineRule="auto"/>
    </w:pPr>
    <w:rPr>
      <w:sz w:val="20"/>
      <w:szCs w:val="20"/>
    </w:rPr>
  </w:style>
  <w:style w:type="character" w:customStyle="1" w:styleId="CommentTextChar">
    <w:name w:val="Comment Text Char"/>
    <w:basedOn w:val="DefaultParagraphFont"/>
    <w:link w:val="CommentText"/>
    <w:uiPriority w:val="99"/>
    <w:semiHidden/>
    <w:rsid w:val="00901E8E"/>
    <w:rPr>
      <w:sz w:val="20"/>
      <w:szCs w:val="20"/>
    </w:rPr>
  </w:style>
  <w:style w:type="paragraph" w:styleId="CommentSubject">
    <w:name w:val="annotation subject"/>
    <w:basedOn w:val="CommentText"/>
    <w:next w:val="CommentText"/>
    <w:link w:val="CommentSubjectChar"/>
    <w:uiPriority w:val="99"/>
    <w:semiHidden/>
    <w:unhideWhenUsed/>
    <w:rsid w:val="00901E8E"/>
    <w:rPr>
      <w:b/>
      <w:bCs/>
    </w:rPr>
  </w:style>
  <w:style w:type="character" w:customStyle="1" w:styleId="CommentSubjectChar">
    <w:name w:val="Comment Subject Char"/>
    <w:basedOn w:val="CommentTextChar"/>
    <w:link w:val="CommentSubject"/>
    <w:uiPriority w:val="99"/>
    <w:semiHidden/>
    <w:rsid w:val="00901E8E"/>
    <w:rPr>
      <w:b/>
      <w:bCs/>
      <w:sz w:val="20"/>
      <w:szCs w:val="20"/>
    </w:rPr>
  </w:style>
  <w:style w:type="paragraph" w:styleId="BalloonText">
    <w:name w:val="Balloon Text"/>
    <w:basedOn w:val="Normal"/>
    <w:link w:val="BalloonTextChar"/>
    <w:uiPriority w:val="99"/>
    <w:semiHidden/>
    <w:unhideWhenUsed/>
    <w:rsid w:val="00901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E8E"/>
    <w:rPr>
      <w:rFonts w:ascii="Segoe UI" w:hAnsi="Segoe UI" w:cs="Segoe UI"/>
      <w:sz w:val="18"/>
      <w:szCs w:val="18"/>
    </w:rPr>
  </w:style>
  <w:style w:type="table" w:styleId="TableGrid">
    <w:name w:val="Table Grid"/>
    <w:basedOn w:val="TableNormal"/>
    <w:uiPriority w:val="39"/>
    <w:rsid w:val="00C44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D4F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4FBC"/>
    <w:rPr>
      <w:sz w:val="20"/>
      <w:szCs w:val="20"/>
    </w:rPr>
  </w:style>
  <w:style w:type="character" w:styleId="FootnoteReference">
    <w:name w:val="footnote reference"/>
    <w:basedOn w:val="DefaultParagraphFont"/>
    <w:uiPriority w:val="99"/>
    <w:semiHidden/>
    <w:unhideWhenUsed/>
    <w:rsid w:val="00AD4FBC"/>
    <w:rPr>
      <w:vertAlign w:val="superscript"/>
    </w:rPr>
  </w:style>
  <w:style w:type="paragraph" w:styleId="Header">
    <w:name w:val="header"/>
    <w:basedOn w:val="Normal"/>
    <w:link w:val="HeaderChar"/>
    <w:uiPriority w:val="99"/>
    <w:unhideWhenUsed/>
    <w:rsid w:val="00D27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D7E"/>
  </w:style>
  <w:style w:type="paragraph" w:styleId="Footer">
    <w:name w:val="footer"/>
    <w:basedOn w:val="Normal"/>
    <w:link w:val="FooterChar"/>
    <w:uiPriority w:val="99"/>
    <w:unhideWhenUsed/>
    <w:rsid w:val="00D27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D7E"/>
  </w:style>
  <w:style w:type="character" w:styleId="Hyperlink">
    <w:name w:val="Hyperlink"/>
    <w:basedOn w:val="DefaultParagraphFont"/>
    <w:uiPriority w:val="99"/>
    <w:unhideWhenUsed/>
    <w:rsid w:val="00F47171"/>
    <w:rPr>
      <w:color w:val="0563C1" w:themeColor="hyperlink"/>
      <w:u w:val="single"/>
    </w:rPr>
  </w:style>
  <w:style w:type="character" w:styleId="UnresolvedMention">
    <w:name w:val="Unresolved Mention"/>
    <w:basedOn w:val="DefaultParagraphFont"/>
    <w:uiPriority w:val="99"/>
    <w:semiHidden/>
    <w:unhideWhenUsed/>
    <w:rsid w:val="00F47171"/>
    <w:rPr>
      <w:color w:val="605E5C"/>
      <w:shd w:val="clear" w:color="auto" w:fill="E1DFDD"/>
    </w:rPr>
  </w:style>
  <w:style w:type="character" w:styleId="FollowedHyperlink">
    <w:name w:val="FollowedHyperlink"/>
    <w:basedOn w:val="DefaultParagraphFont"/>
    <w:uiPriority w:val="99"/>
    <w:semiHidden/>
    <w:unhideWhenUsed/>
    <w:rsid w:val="00F47171"/>
    <w:rPr>
      <w:color w:val="954F72" w:themeColor="followedHyperlink"/>
      <w:u w:val="single"/>
    </w:rPr>
  </w:style>
  <w:style w:type="paragraph" w:styleId="Revision">
    <w:name w:val="Revision"/>
    <w:hidden/>
    <w:uiPriority w:val="99"/>
    <w:semiHidden/>
    <w:rsid w:val="002E4DBD"/>
    <w:pPr>
      <w:spacing w:after="0" w:line="240" w:lineRule="auto"/>
    </w:pPr>
  </w:style>
  <w:style w:type="character" w:customStyle="1" w:styleId="Heading1Char">
    <w:name w:val="Heading 1 Char"/>
    <w:basedOn w:val="DefaultParagraphFont"/>
    <w:link w:val="Heading1"/>
    <w:uiPriority w:val="9"/>
    <w:rsid w:val="00BB4C69"/>
    <w:rPr>
      <w:rFonts w:asciiTheme="majorHAnsi" w:eastAsiaTheme="majorEastAsia" w:hAnsiTheme="majorHAnsi" w:cstheme="majorBidi"/>
      <w:b/>
      <w:bCs/>
      <w:color w:val="660066"/>
      <w:sz w:val="32"/>
      <w:szCs w:val="32"/>
    </w:rPr>
  </w:style>
  <w:style w:type="character" w:customStyle="1" w:styleId="Heading2Char">
    <w:name w:val="Heading 2 Char"/>
    <w:basedOn w:val="DefaultParagraphFont"/>
    <w:link w:val="Heading2"/>
    <w:uiPriority w:val="9"/>
    <w:rsid w:val="00BB4C6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B4C6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B4C6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B4C6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B4C6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B4C6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B4C6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B4C69"/>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E75C8B"/>
    <w:pPr>
      <w:numPr>
        <w:numId w:val="0"/>
      </w:numPr>
      <w:outlineLvl w:val="9"/>
    </w:pPr>
    <w:rPr>
      <w:b w:val="0"/>
      <w:bCs w:val="0"/>
      <w:color w:val="2F5496" w:themeColor="accent1" w:themeShade="BF"/>
      <w:lang w:val="en-US"/>
    </w:rPr>
  </w:style>
  <w:style w:type="paragraph" w:styleId="TOC1">
    <w:name w:val="toc 1"/>
    <w:basedOn w:val="Normal"/>
    <w:next w:val="Normal"/>
    <w:autoRedefine/>
    <w:uiPriority w:val="39"/>
    <w:unhideWhenUsed/>
    <w:rsid w:val="00E75C8B"/>
    <w:pPr>
      <w:spacing w:after="100"/>
      <w:ind w:left="720" w:hanging="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55083">
      <w:bodyDiv w:val="1"/>
      <w:marLeft w:val="0"/>
      <w:marRight w:val="0"/>
      <w:marTop w:val="0"/>
      <w:marBottom w:val="0"/>
      <w:divBdr>
        <w:top w:val="none" w:sz="0" w:space="0" w:color="auto"/>
        <w:left w:val="none" w:sz="0" w:space="0" w:color="auto"/>
        <w:bottom w:val="none" w:sz="0" w:space="0" w:color="auto"/>
        <w:right w:val="none" w:sz="0" w:space="0" w:color="auto"/>
      </w:divBdr>
    </w:div>
    <w:div w:id="101070150">
      <w:bodyDiv w:val="1"/>
      <w:marLeft w:val="0"/>
      <w:marRight w:val="0"/>
      <w:marTop w:val="0"/>
      <w:marBottom w:val="0"/>
      <w:divBdr>
        <w:top w:val="none" w:sz="0" w:space="0" w:color="auto"/>
        <w:left w:val="none" w:sz="0" w:space="0" w:color="auto"/>
        <w:bottom w:val="none" w:sz="0" w:space="0" w:color="auto"/>
        <w:right w:val="none" w:sz="0" w:space="0" w:color="auto"/>
      </w:divBdr>
    </w:div>
    <w:div w:id="264316027">
      <w:bodyDiv w:val="1"/>
      <w:marLeft w:val="0"/>
      <w:marRight w:val="0"/>
      <w:marTop w:val="0"/>
      <w:marBottom w:val="0"/>
      <w:divBdr>
        <w:top w:val="none" w:sz="0" w:space="0" w:color="auto"/>
        <w:left w:val="none" w:sz="0" w:space="0" w:color="auto"/>
        <w:bottom w:val="none" w:sz="0" w:space="0" w:color="auto"/>
        <w:right w:val="none" w:sz="0" w:space="0" w:color="auto"/>
      </w:divBdr>
    </w:div>
    <w:div w:id="603538213">
      <w:bodyDiv w:val="1"/>
      <w:marLeft w:val="0"/>
      <w:marRight w:val="0"/>
      <w:marTop w:val="0"/>
      <w:marBottom w:val="0"/>
      <w:divBdr>
        <w:top w:val="none" w:sz="0" w:space="0" w:color="auto"/>
        <w:left w:val="none" w:sz="0" w:space="0" w:color="auto"/>
        <w:bottom w:val="none" w:sz="0" w:space="0" w:color="auto"/>
        <w:right w:val="none" w:sz="0" w:space="0" w:color="auto"/>
      </w:divBdr>
    </w:div>
    <w:div w:id="715081858">
      <w:bodyDiv w:val="1"/>
      <w:marLeft w:val="0"/>
      <w:marRight w:val="0"/>
      <w:marTop w:val="0"/>
      <w:marBottom w:val="0"/>
      <w:divBdr>
        <w:top w:val="none" w:sz="0" w:space="0" w:color="auto"/>
        <w:left w:val="none" w:sz="0" w:space="0" w:color="auto"/>
        <w:bottom w:val="none" w:sz="0" w:space="0" w:color="auto"/>
        <w:right w:val="none" w:sz="0" w:space="0" w:color="auto"/>
      </w:divBdr>
    </w:div>
    <w:div w:id="742407164">
      <w:bodyDiv w:val="1"/>
      <w:marLeft w:val="0"/>
      <w:marRight w:val="0"/>
      <w:marTop w:val="0"/>
      <w:marBottom w:val="0"/>
      <w:divBdr>
        <w:top w:val="none" w:sz="0" w:space="0" w:color="auto"/>
        <w:left w:val="none" w:sz="0" w:space="0" w:color="auto"/>
        <w:bottom w:val="none" w:sz="0" w:space="0" w:color="auto"/>
        <w:right w:val="none" w:sz="0" w:space="0" w:color="auto"/>
      </w:divBdr>
    </w:div>
    <w:div w:id="757596551">
      <w:bodyDiv w:val="1"/>
      <w:marLeft w:val="0"/>
      <w:marRight w:val="0"/>
      <w:marTop w:val="0"/>
      <w:marBottom w:val="0"/>
      <w:divBdr>
        <w:top w:val="none" w:sz="0" w:space="0" w:color="auto"/>
        <w:left w:val="none" w:sz="0" w:space="0" w:color="auto"/>
        <w:bottom w:val="none" w:sz="0" w:space="0" w:color="auto"/>
        <w:right w:val="none" w:sz="0" w:space="0" w:color="auto"/>
      </w:divBdr>
    </w:div>
    <w:div w:id="779187159">
      <w:bodyDiv w:val="1"/>
      <w:marLeft w:val="0"/>
      <w:marRight w:val="0"/>
      <w:marTop w:val="0"/>
      <w:marBottom w:val="0"/>
      <w:divBdr>
        <w:top w:val="none" w:sz="0" w:space="0" w:color="auto"/>
        <w:left w:val="none" w:sz="0" w:space="0" w:color="auto"/>
        <w:bottom w:val="none" w:sz="0" w:space="0" w:color="auto"/>
        <w:right w:val="none" w:sz="0" w:space="0" w:color="auto"/>
      </w:divBdr>
    </w:div>
    <w:div w:id="823158923">
      <w:bodyDiv w:val="1"/>
      <w:marLeft w:val="0"/>
      <w:marRight w:val="0"/>
      <w:marTop w:val="0"/>
      <w:marBottom w:val="0"/>
      <w:divBdr>
        <w:top w:val="none" w:sz="0" w:space="0" w:color="auto"/>
        <w:left w:val="none" w:sz="0" w:space="0" w:color="auto"/>
        <w:bottom w:val="none" w:sz="0" w:space="0" w:color="auto"/>
        <w:right w:val="none" w:sz="0" w:space="0" w:color="auto"/>
      </w:divBdr>
    </w:div>
    <w:div w:id="1202523245">
      <w:bodyDiv w:val="1"/>
      <w:marLeft w:val="0"/>
      <w:marRight w:val="0"/>
      <w:marTop w:val="0"/>
      <w:marBottom w:val="0"/>
      <w:divBdr>
        <w:top w:val="none" w:sz="0" w:space="0" w:color="auto"/>
        <w:left w:val="none" w:sz="0" w:space="0" w:color="auto"/>
        <w:bottom w:val="none" w:sz="0" w:space="0" w:color="auto"/>
        <w:right w:val="none" w:sz="0" w:space="0" w:color="auto"/>
      </w:divBdr>
    </w:div>
    <w:div w:id="1233082017">
      <w:bodyDiv w:val="1"/>
      <w:marLeft w:val="0"/>
      <w:marRight w:val="0"/>
      <w:marTop w:val="0"/>
      <w:marBottom w:val="0"/>
      <w:divBdr>
        <w:top w:val="none" w:sz="0" w:space="0" w:color="auto"/>
        <w:left w:val="none" w:sz="0" w:space="0" w:color="auto"/>
        <w:bottom w:val="none" w:sz="0" w:space="0" w:color="auto"/>
        <w:right w:val="none" w:sz="0" w:space="0" w:color="auto"/>
      </w:divBdr>
      <w:divsChild>
        <w:div w:id="592863171">
          <w:marLeft w:val="547"/>
          <w:marRight w:val="0"/>
          <w:marTop w:val="115"/>
          <w:marBottom w:val="0"/>
          <w:divBdr>
            <w:top w:val="none" w:sz="0" w:space="0" w:color="auto"/>
            <w:left w:val="none" w:sz="0" w:space="0" w:color="auto"/>
            <w:bottom w:val="none" w:sz="0" w:space="0" w:color="auto"/>
            <w:right w:val="none" w:sz="0" w:space="0" w:color="auto"/>
          </w:divBdr>
        </w:div>
        <w:div w:id="714696460">
          <w:marLeft w:val="1166"/>
          <w:marRight w:val="0"/>
          <w:marTop w:val="115"/>
          <w:marBottom w:val="0"/>
          <w:divBdr>
            <w:top w:val="none" w:sz="0" w:space="0" w:color="auto"/>
            <w:left w:val="none" w:sz="0" w:space="0" w:color="auto"/>
            <w:bottom w:val="none" w:sz="0" w:space="0" w:color="auto"/>
            <w:right w:val="none" w:sz="0" w:space="0" w:color="auto"/>
          </w:divBdr>
        </w:div>
        <w:div w:id="1653948762">
          <w:marLeft w:val="1166"/>
          <w:marRight w:val="0"/>
          <w:marTop w:val="115"/>
          <w:marBottom w:val="0"/>
          <w:divBdr>
            <w:top w:val="none" w:sz="0" w:space="0" w:color="auto"/>
            <w:left w:val="none" w:sz="0" w:space="0" w:color="auto"/>
            <w:bottom w:val="none" w:sz="0" w:space="0" w:color="auto"/>
            <w:right w:val="none" w:sz="0" w:space="0" w:color="auto"/>
          </w:divBdr>
        </w:div>
        <w:div w:id="2133983798">
          <w:marLeft w:val="547"/>
          <w:marRight w:val="0"/>
          <w:marTop w:val="115"/>
          <w:marBottom w:val="0"/>
          <w:divBdr>
            <w:top w:val="none" w:sz="0" w:space="0" w:color="auto"/>
            <w:left w:val="none" w:sz="0" w:space="0" w:color="auto"/>
            <w:bottom w:val="none" w:sz="0" w:space="0" w:color="auto"/>
            <w:right w:val="none" w:sz="0" w:space="0" w:color="auto"/>
          </w:divBdr>
        </w:div>
      </w:divsChild>
    </w:div>
    <w:div w:id="1622572116">
      <w:bodyDiv w:val="1"/>
      <w:marLeft w:val="0"/>
      <w:marRight w:val="0"/>
      <w:marTop w:val="0"/>
      <w:marBottom w:val="0"/>
      <w:divBdr>
        <w:top w:val="none" w:sz="0" w:space="0" w:color="auto"/>
        <w:left w:val="none" w:sz="0" w:space="0" w:color="auto"/>
        <w:bottom w:val="none" w:sz="0" w:space="0" w:color="auto"/>
        <w:right w:val="none" w:sz="0" w:space="0" w:color="auto"/>
      </w:divBdr>
    </w:div>
    <w:div w:id="165648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hart" Target="charts/chart2.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ndchildpoverty.org.uk/wp-content/uploads/2020/10/local-child-poverty-estimates-ahc-october-2020-1.xlsx"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ndchildpoverty.org.uk/wp-content/uploads/2020/10/local-CP-BHC-2014-15-to-18-19.xlsx"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ssdbh\Downloads\Child%20Poverty%20AHC%20estimates%202015-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ssdbh\OneDrive%20-%20Loughborough%20University\1%20current%20docs\data%20projects\cpag%20stats\2020%20oct\rental%20prices%20cpi.xls"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ssdbh\Downloads\Child%20Poverty%20AHC%20estimates%202015-201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'Country &amp; Region'!$B$28</c:f>
              <c:strCache>
                <c:ptCount val="1"/>
                <c:pt idx="0">
                  <c:v>Percentage of children in poverty, AHC 2018/19</c:v>
                </c:pt>
              </c:strCache>
            </c:strRef>
          </c:tx>
          <c:spPr>
            <a:solidFill>
              <a:srgbClr val="6699FF"/>
            </a:solidFill>
            <a:ln>
              <a:solidFill>
                <a:schemeClr val="accent1">
                  <a:lumMod val="75000"/>
                </a:schemeClr>
              </a:solidFill>
            </a:ln>
            <a:effectLst/>
          </c:spPr>
          <c:invertIfNegative val="0"/>
          <c:dPt>
            <c:idx val="0"/>
            <c:invertIfNegative val="0"/>
            <c:bubble3D val="0"/>
            <c:spPr>
              <a:solidFill>
                <a:schemeClr val="tx1"/>
              </a:solidFill>
              <a:ln>
                <a:solidFill>
                  <a:schemeClr val="accent1">
                    <a:lumMod val="75000"/>
                  </a:schemeClr>
                </a:solidFill>
              </a:ln>
              <a:effectLst/>
            </c:spPr>
            <c:extLst>
              <c:ext xmlns:c16="http://schemas.microsoft.com/office/drawing/2014/chart" uri="{C3380CC4-5D6E-409C-BE32-E72D297353CC}">
                <c16:uniqueId val="{00000001-6CD2-4D82-AB16-AD82E111AFE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'Country &amp; Region'!$A$29:$A$42</c:f>
              <c:strCache>
                <c:ptCount val="14"/>
                <c:pt idx="0">
                  <c:v>UK</c:v>
                </c:pt>
                <c:pt idx="1">
                  <c:v>Scotland</c:v>
                </c:pt>
                <c:pt idx="2">
                  <c:v>  South East</c:v>
                </c:pt>
                <c:pt idx="3">
                  <c:v>  South West</c:v>
                </c:pt>
                <c:pt idx="4">
                  <c:v>Northern Ireland</c:v>
                </c:pt>
                <c:pt idx="5">
                  <c:v>  East Midlands</c:v>
                </c:pt>
                <c:pt idx="6">
                  <c:v>  East of England</c:v>
                </c:pt>
                <c:pt idx="7">
                  <c:v>Wales</c:v>
                </c:pt>
                <c:pt idx="8">
                  <c:v>England</c:v>
                </c:pt>
                <c:pt idx="9">
                  <c:v>  North West</c:v>
                </c:pt>
                <c:pt idx="10">
                  <c:v>  Yorkshire and the Humber</c:v>
                </c:pt>
                <c:pt idx="11">
                  <c:v>  West Midlands</c:v>
                </c:pt>
                <c:pt idx="12">
                  <c:v>  North East</c:v>
                </c:pt>
                <c:pt idx="13">
                  <c:v>  London</c:v>
                </c:pt>
              </c:strCache>
            </c:strRef>
          </c:cat>
          <c:val>
            <c:numRef>
              <c:f>'Country &amp; Region'!$B$29:$B$42</c:f>
              <c:numCache>
                <c:formatCode>0%</c:formatCode>
                <c:ptCount val="14"/>
                <c:pt idx="0">
                  <c:v>0.3</c:v>
                </c:pt>
                <c:pt idx="1">
                  <c:v>0.24</c:v>
                </c:pt>
                <c:pt idx="2">
                  <c:v>0.25</c:v>
                </c:pt>
                <c:pt idx="3">
                  <c:v>0.25</c:v>
                </c:pt>
                <c:pt idx="4">
                  <c:v>0.25</c:v>
                </c:pt>
                <c:pt idx="5">
                  <c:v>0.26</c:v>
                </c:pt>
                <c:pt idx="6">
                  <c:v>0.27</c:v>
                </c:pt>
                <c:pt idx="7">
                  <c:v>0.28000000000000003</c:v>
                </c:pt>
                <c:pt idx="8">
                  <c:v>0.31</c:v>
                </c:pt>
                <c:pt idx="9">
                  <c:v>0.32</c:v>
                </c:pt>
                <c:pt idx="10">
                  <c:v>0.32</c:v>
                </c:pt>
                <c:pt idx="11">
                  <c:v>0.34</c:v>
                </c:pt>
                <c:pt idx="12">
                  <c:v>0.35</c:v>
                </c:pt>
                <c:pt idx="13">
                  <c:v>0.39</c:v>
                </c:pt>
              </c:numCache>
            </c:numRef>
          </c:val>
          <c:extLst>
            <c:ext xmlns:c16="http://schemas.microsoft.com/office/drawing/2014/chart" uri="{C3380CC4-5D6E-409C-BE32-E72D297353CC}">
              <c16:uniqueId val="{00000002-6CD2-4D82-AB16-AD82E111AFE6}"/>
            </c:ext>
          </c:extLst>
        </c:ser>
        <c:dLbls>
          <c:showLegendKey val="0"/>
          <c:showVal val="0"/>
          <c:showCatName val="0"/>
          <c:showSerName val="0"/>
          <c:showPercent val="0"/>
          <c:showBubbleSize val="0"/>
        </c:dLbls>
        <c:gapWidth val="66"/>
        <c:overlap val="-27"/>
        <c:axId val="1134034456"/>
        <c:axId val="1134033472"/>
      </c:barChart>
      <c:catAx>
        <c:axId val="1134034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4033472"/>
        <c:crosses val="autoZero"/>
        <c:auto val="1"/>
        <c:lblAlgn val="ctr"/>
        <c:lblOffset val="100"/>
        <c:noMultiLvlLbl val="0"/>
      </c:catAx>
      <c:valAx>
        <c:axId val="113403347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40344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660066"/>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'Table 1'!$Y$80</c:f>
              <c:strCache>
                <c:ptCount val="1"/>
                <c:pt idx="0">
                  <c:v>Outside London</c:v>
                </c:pt>
              </c:strCache>
            </c:strRef>
          </c:tx>
          <c:spPr>
            <a:ln w="28575" cap="rnd">
              <a:solidFill>
                <a:schemeClr val="accent1"/>
              </a:solidFill>
              <a:round/>
            </a:ln>
            <a:effectLst/>
          </c:spPr>
          <c:marker>
            <c:symbol val="none"/>
          </c:marker>
          <c:cat>
            <c:numRef>
              <c:f>'Table 1'!$X$81:$X$90</c:f>
              <c:numCache>
                <c:formatCode>0</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'Table 1'!$Y$81:$Y$90</c:f>
              <c:numCache>
                <c:formatCode>0</c:formatCode>
                <c:ptCount val="10"/>
                <c:pt idx="0">
                  <c:v>94.548373823149532</c:v>
                </c:pt>
                <c:pt idx="1">
                  <c:v>96.137253291062137</c:v>
                </c:pt>
                <c:pt idx="2">
                  <c:v>97.505900135106202</c:v>
                </c:pt>
                <c:pt idx="3">
                  <c:v>98.604155561451094</c:v>
                </c:pt>
                <c:pt idx="4">
                  <c:v>100</c:v>
                </c:pt>
                <c:pt idx="5">
                  <c:v>101.84172222033881</c:v>
                </c:pt>
                <c:pt idx="6">
                  <c:v>104.13333121876161</c:v>
                </c:pt>
                <c:pt idx="7">
                  <c:v>105.81969833281602</c:v>
                </c:pt>
                <c:pt idx="8">
                  <c:v>107.38065639025862</c:v>
                </c:pt>
                <c:pt idx="9">
                  <c:v>109.05125135141829</c:v>
                </c:pt>
              </c:numCache>
            </c:numRef>
          </c:val>
          <c:smooth val="0"/>
          <c:extLst>
            <c:ext xmlns:c16="http://schemas.microsoft.com/office/drawing/2014/chart" uri="{C3380CC4-5D6E-409C-BE32-E72D297353CC}">
              <c16:uniqueId val="{00000000-4F08-41D2-B159-A550F84CFE80}"/>
            </c:ext>
          </c:extLst>
        </c:ser>
        <c:ser>
          <c:idx val="1"/>
          <c:order val="1"/>
          <c:tx>
            <c:strRef>
              <c:f>'Table 1'!$Z$80</c:f>
              <c:strCache>
                <c:ptCount val="1"/>
                <c:pt idx="0">
                  <c:v>London</c:v>
                </c:pt>
              </c:strCache>
            </c:strRef>
          </c:tx>
          <c:spPr>
            <a:ln w="28575" cap="rnd">
              <a:solidFill>
                <a:schemeClr val="accent2"/>
              </a:solidFill>
              <a:round/>
            </a:ln>
            <a:effectLst/>
          </c:spPr>
          <c:marker>
            <c:symbol val="none"/>
          </c:marker>
          <c:cat>
            <c:numRef>
              <c:f>'Table 1'!$X$81:$X$90</c:f>
              <c:numCache>
                <c:formatCode>0</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'Table 1'!$Z$81:$Z$90</c:f>
              <c:numCache>
                <c:formatCode>0</c:formatCode>
                <c:ptCount val="10"/>
                <c:pt idx="0">
                  <c:v>86.346895952834217</c:v>
                </c:pt>
                <c:pt idx="1">
                  <c:v>90.537777548530272</c:v>
                </c:pt>
                <c:pt idx="2">
                  <c:v>94.675677461095674</c:v>
                </c:pt>
                <c:pt idx="3">
                  <c:v>97.315996701941813</c:v>
                </c:pt>
                <c:pt idx="4">
                  <c:v>100</c:v>
                </c:pt>
                <c:pt idx="5">
                  <c:v>103.92407400652048</c:v>
                </c:pt>
                <c:pt idx="6">
                  <c:v>106.0761870446719</c:v>
                </c:pt>
                <c:pt idx="7">
                  <c:v>107.23318734911315</c:v>
                </c:pt>
                <c:pt idx="8">
                  <c:v>106.36326811209776</c:v>
                </c:pt>
                <c:pt idx="9">
                  <c:v>107.7168551106993</c:v>
                </c:pt>
              </c:numCache>
            </c:numRef>
          </c:val>
          <c:smooth val="0"/>
          <c:extLst>
            <c:ext xmlns:c16="http://schemas.microsoft.com/office/drawing/2014/chart" uri="{C3380CC4-5D6E-409C-BE32-E72D297353CC}">
              <c16:uniqueId val="{00000001-4F08-41D2-B159-A550F84CFE80}"/>
            </c:ext>
          </c:extLst>
        </c:ser>
        <c:dLbls>
          <c:showLegendKey val="0"/>
          <c:showVal val="0"/>
          <c:showCatName val="0"/>
          <c:showSerName val="0"/>
          <c:showPercent val="0"/>
          <c:showBubbleSize val="0"/>
        </c:dLbls>
        <c:smooth val="0"/>
        <c:axId val="1760719664"/>
        <c:axId val="1"/>
      </c:lineChart>
      <c:catAx>
        <c:axId val="1760719664"/>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min val="8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60719664"/>
        <c:crosses val="autoZero"/>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lumMod val="7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7819590559241606E-2"/>
          <c:y val="9.2164723484689341E-3"/>
          <c:w val="0.95465913665825353"/>
          <c:h val="0.914557732204763"/>
        </c:manualLayout>
      </c:layout>
      <c:barChart>
        <c:barDir val="col"/>
        <c:grouping val="clustered"/>
        <c:varyColors val="0"/>
        <c:ser>
          <c:idx val="0"/>
          <c:order val="0"/>
          <c:tx>
            <c:strRef>
              <c:f>'Country &amp; Region'!$P$25</c:f>
              <c:strCache>
                <c:ptCount val="1"/>
                <c:pt idx="0">
                  <c:v>2014/15</c:v>
                </c:pt>
              </c:strCache>
            </c:strRef>
          </c:tx>
          <c:spPr>
            <a:solidFill>
              <a:schemeClr val="accent1">
                <a:lumMod val="40000"/>
                <a:lumOff val="60000"/>
              </a:schemeClr>
            </a:solidFill>
            <a:ln>
              <a:noFill/>
            </a:ln>
            <a:effectLst/>
          </c:spPr>
          <c:invertIfNegative val="0"/>
          <c:dPt>
            <c:idx val="0"/>
            <c:invertIfNegative val="0"/>
            <c:bubble3D val="0"/>
            <c:spPr>
              <a:solidFill>
                <a:schemeClr val="tx1">
                  <a:lumMod val="50000"/>
                  <a:lumOff val="50000"/>
                </a:schemeClr>
              </a:solidFill>
              <a:ln>
                <a:noFill/>
              </a:ln>
              <a:effectLst/>
            </c:spPr>
            <c:extLst>
              <c:ext xmlns:c16="http://schemas.microsoft.com/office/drawing/2014/chart" uri="{C3380CC4-5D6E-409C-BE32-E72D297353CC}">
                <c16:uniqueId val="{00000001-E8D8-43D2-BE4A-C2301C85F401}"/>
              </c:ext>
            </c:extLst>
          </c:dPt>
          <c:cat>
            <c:strRef>
              <c:f>'Country &amp; Region'!$O$26:$O$39</c:f>
              <c:strCache>
                <c:ptCount val="14"/>
                <c:pt idx="0">
                  <c:v>UK</c:v>
                </c:pt>
                <c:pt idx="1">
                  <c:v>  South West</c:v>
                </c:pt>
                <c:pt idx="2">
                  <c:v>Wales</c:v>
                </c:pt>
                <c:pt idx="3">
                  <c:v>  East Midlands</c:v>
                </c:pt>
                <c:pt idx="4">
                  <c:v>  South East</c:v>
                </c:pt>
                <c:pt idx="5">
                  <c:v>Northern Ireland</c:v>
                </c:pt>
                <c:pt idx="6">
                  <c:v>Scotland</c:v>
                </c:pt>
                <c:pt idx="7">
                  <c:v>England</c:v>
                </c:pt>
                <c:pt idx="8">
                  <c:v>  East of England</c:v>
                </c:pt>
                <c:pt idx="9">
                  <c:v>  London</c:v>
                </c:pt>
                <c:pt idx="10">
                  <c:v>  North West</c:v>
                </c:pt>
                <c:pt idx="11">
                  <c:v>  Yorkshire and the Humber</c:v>
                </c:pt>
                <c:pt idx="12">
                  <c:v>  West Midlands</c:v>
                </c:pt>
                <c:pt idx="13">
                  <c:v>  North East</c:v>
                </c:pt>
              </c:strCache>
            </c:strRef>
          </c:cat>
          <c:val>
            <c:numRef>
              <c:f>'Country &amp; Region'!$P$26:$P$39</c:f>
              <c:numCache>
                <c:formatCode>0%</c:formatCode>
                <c:ptCount val="14"/>
                <c:pt idx="0">
                  <c:v>0.28000000000000003</c:v>
                </c:pt>
                <c:pt idx="1">
                  <c:v>0.26</c:v>
                </c:pt>
                <c:pt idx="2">
                  <c:v>0.28999999999999998</c:v>
                </c:pt>
                <c:pt idx="3">
                  <c:v>0.26</c:v>
                </c:pt>
                <c:pt idx="4">
                  <c:v>0.25</c:v>
                </c:pt>
                <c:pt idx="5">
                  <c:v>0.25</c:v>
                </c:pt>
                <c:pt idx="6">
                  <c:v>0.22</c:v>
                </c:pt>
                <c:pt idx="7">
                  <c:v>0.28999999999999998</c:v>
                </c:pt>
                <c:pt idx="8">
                  <c:v>0.25</c:v>
                </c:pt>
                <c:pt idx="9">
                  <c:v>0.37</c:v>
                </c:pt>
                <c:pt idx="10">
                  <c:v>0.28999999999999998</c:v>
                </c:pt>
                <c:pt idx="11">
                  <c:v>0.28000000000000003</c:v>
                </c:pt>
                <c:pt idx="12">
                  <c:v>0.3</c:v>
                </c:pt>
                <c:pt idx="13">
                  <c:v>0.26</c:v>
                </c:pt>
              </c:numCache>
            </c:numRef>
          </c:val>
          <c:extLst>
            <c:ext xmlns:c16="http://schemas.microsoft.com/office/drawing/2014/chart" uri="{C3380CC4-5D6E-409C-BE32-E72D297353CC}">
              <c16:uniqueId val="{00000002-E8D8-43D2-BE4A-C2301C85F401}"/>
            </c:ext>
          </c:extLst>
        </c:ser>
        <c:ser>
          <c:idx val="1"/>
          <c:order val="1"/>
          <c:tx>
            <c:strRef>
              <c:f>'Country &amp; Region'!$Q$25</c:f>
              <c:strCache>
                <c:ptCount val="1"/>
                <c:pt idx="0">
                  <c:v>2018/19</c:v>
                </c:pt>
              </c:strCache>
            </c:strRef>
          </c:tx>
          <c:spPr>
            <a:solidFill>
              <a:srgbClr val="0070C0"/>
            </a:solidFill>
            <a:ln>
              <a:noFill/>
            </a:ln>
            <a:effectLst/>
          </c:spPr>
          <c:invertIfNegative val="0"/>
          <c:dPt>
            <c:idx val="0"/>
            <c:invertIfNegative val="0"/>
            <c:bubble3D val="0"/>
            <c:spPr>
              <a:solidFill>
                <a:schemeClr val="tx1"/>
              </a:solidFill>
              <a:ln>
                <a:noFill/>
              </a:ln>
              <a:effectLst/>
            </c:spPr>
            <c:extLst>
              <c:ext xmlns:c16="http://schemas.microsoft.com/office/drawing/2014/chart" uri="{C3380CC4-5D6E-409C-BE32-E72D297353CC}">
                <c16:uniqueId val="{00000004-E8D8-43D2-BE4A-C2301C85F401}"/>
              </c:ext>
            </c:extLst>
          </c:dPt>
          <c:cat>
            <c:strRef>
              <c:f>'Country &amp; Region'!$O$26:$O$39</c:f>
              <c:strCache>
                <c:ptCount val="14"/>
                <c:pt idx="0">
                  <c:v>UK</c:v>
                </c:pt>
                <c:pt idx="1">
                  <c:v>  South West</c:v>
                </c:pt>
                <c:pt idx="2">
                  <c:v>Wales</c:v>
                </c:pt>
                <c:pt idx="3">
                  <c:v>  East Midlands</c:v>
                </c:pt>
                <c:pt idx="4">
                  <c:v>  South East</c:v>
                </c:pt>
                <c:pt idx="5">
                  <c:v>Northern Ireland</c:v>
                </c:pt>
                <c:pt idx="6">
                  <c:v>Scotland</c:v>
                </c:pt>
                <c:pt idx="7">
                  <c:v>England</c:v>
                </c:pt>
                <c:pt idx="8">
                  <c:v>  East of England</c:v>
                </c:pt>
                <c:pt idx="9">
                  <c:v>  London</c:v>
                </c:pt>
                <c:pt idx="10">
                  <c:v>  North West</c:v>
                </c:pt>
                <c:pt idx="11">
                  <c:v>  Yorkshire and the Humber</c:v>
                </c:pt>
                <c:pt idx="12">
                  <c:v>  West Midlands</c:v>
                </c:pt>
                <c:pt idx="13">
                  <c:v>  North East</c:v>
                </c:pt>
              </c:strCache>
            </c:strRef>
          </c:cat>
          <c:val>
            <c:numRef>
              <c:f>'Country &amp; Region'!$Q$26:$Q$39</c:f>
              <c:numCache>
                <c:formatCode>0%</c:formatCode>
                <c:ptCount val="14"/>
                <c:pt idx="0" formatCode="0.0%">
                  <c:v>0.3</c:v>
                </c:pt>
                <c:pt idx="1">
                  <c:v>0.25</c:v>
                </c:pt>
                <c:pt idx="2">
                  <c:v>0.28000000000000003</c:v>
                </c:pt>
                <c:pt idx="3">
                  <c:v>0.26</c:v>
                </c:pt>
                <c:pt idx="4">
                  <c:v>0.25</c:v>
                </c:pt>
                <c:pt idx="5">
                  <c:v>0.25</c:v>
                </c:pt>
                <c:pt idx="6">
                  <c:v>0.24</c:v>
                </c:pt>
                <c:pt idx="7">
                  <c:v>0.31</c:v>
                </c:pt>
                <c:pt idx="8">
                  <c:v>0.27</c:v>
                </c:pt>
                <c:pt idx="9">
                  <c:v>0.39</c:v>
                </c:pt>
                <c:pt idx="10">
                  <c:v>0.32</c:v>
                </c:pt>
                <c:pt idx="11">
                  <c:v>0.32</c:v>
                </c:pt>
                <c:pt idx="12">
                  <c:v>0.34</c:v>
                </c:pt>
                <c:pt idx="13">
                  <c:v>0.35</c:v>
                </c:pt>
              </c:numCache>
            </c:numRef>
          </c:val>
          <c:extLst>
            <c:ext xmlns:c16="http://schemas.microsoft.com/office/drawing/2014/chart" uri="{C3380CC4-5D6E-409C-BE32-E72D297353CC}">
              <c16:uniqueId val="{00000005-E8D8-43D2-BE4A-C2301C85F401}"/>
            </c:ext>
          </c:extLst>
        </c:ser>
        <c:ser>
          <c:idx val="2"/>
          <c:order val="2"/>
          <c:tx>
            <c:strRef>
              <c:f>'Country &amp; Region'!$R$25</c:f>
              <c:strCache>
                <c:ptCount val="1"/>
                <c:pt idx="0">
                  <c:v>Percentage point change</c:v>
                </c:pt>
              </c:strCache>
            </c:strRef>
          </c:tx>
          <c:spPr>
            <a:solidFill>
              <a:srgbClr val="FF0000"/>
            </a:solidFill>
            <a:ln>
              <a:noFill/>
            </a:ln>
            <a:effectLst/>
          </c:spPr>
          <c:invertIfNegative val="0"/>
          <c:dPt>
            <c:idx val="0"/>
            <c:invertIfNegative val="0"/>
            <c:bubble3D val="0"/>
            <c:spPr>
              <a:solidFill>
                <a:srgbClr val="C00000"/>
              </a:solidFill>
              <a:ln>
                <a:noFill/>
              </a:ln>
              <a:effectLst/>
            </c:spPr>
            <c:extLst>
              <c:ext xmlns:c16="http://schemas.microsoft.com/office/drawing/2014/chart" uri="{C3380CC4-5D6E-409C-BE32-E72D297353CC}">
                <c16:uniqueId val="{00000007-E8D8-43D2-BE4A-C2301C85F401}"/>
              </c:ext>
            </c:extLst>
          </c:dPt>
          <c:cat>
            <c:strRef>
              <c:f>'Country &amp; Region'!$O$26:$O$39</c:f>
              <c:strCache>
                <c:ptCount val="14"/>
                <c:pt idx="0">
                  <c:v>UK</c:v>
                </c:pt>
                <c:pt idx="1">
                  <c:v>  South West</c:v>
                </c:pt>
                <c:pt idx="2">
                  <c:v>Wales</c:v>
                </c:pt>
                <c:pt idx="3">
                  <c:v>  East Midlands</c:v>
                </c:pt>
                <c:pt idx="4">
                  <c:v>  South East</c:v>
                </c:pt>
                <c:pt idx="5">
                  <c:v>Northern Ireland</c:v>
                </c:pt>
                <c:pt idx="6">
                  <c:v>Scotland</c:v>
                </c:pt>
                <c:pt idx="7">
                  <c:v>England</c:v>
                </c:pt>
                <c:pt idx="8">
                  <c:v>  East of England</c:v>
                </c:pt>
                <c:pt idx="9">
                  <c:v>  London</c:v>
                </c:pt>
                <c:pt idx="10">
                  <c:v>  North West</c:v>
                </c:pt>
                <c:pt idx="11">
                  <c:v>  Yorkshire and the Humber</c:v>
                </c:pt>
                <c:pt idx="12">
                  <c:v>  West Midlands</c:v>
                </c:pt>
                <c:pt idx="13">
                  <c:v>  North East</c:v>
                </c:pt>
              </c:strCache>
            </c:strRef>
          </c:cat>
          <c:val>
            <c:numRef>
              <c:f>'Country &amp; Region'!$R$26:$R$39</c:f>
              <c:numCache>
                <c:formatCode>0%</c:formatCode>
                <c:ptCount val="14"/>
                <c:pt idx="0" formatCode="0.0%">
                  <c:v>1.9999999999999962E-2</c:v>
                </c:pt>
                <c:pt idx="1">
                  <c:v>-1.0000000000000009E-2</c:v>
                </c:pt>
                <c:pt idx="2">
                  <c:v>-9.9999999999999534E-3</c:v>
                </c:pt>
                <c:pt idx="3">
                  <c:v>0</c:v>
                </c:pt>
                <c:pt idx="4">
                  <c:v>0</c:v>
                </c:pt>
                <c:pt idx="5">
                  <c:v>0</c:v>
                </c:pt>
                <c:pt idx="6">
                  <c:v>1.999999999999999E-2</c:v>
                </c:pt>
                <c:pt idx="7">
                  <c:v>2.0000000000000018E-2</c:v>
                </c:pt>
                <c:pt idx="8">
                  <c:v>2.0000000000000018E-2</c:v>
                </c:pt>
                <c:pt idx="9">
                  <c:v>2.0000000000000018E-2</c:v>
                </c:pt>
                <c:pt idx="10">
                  <c:v>3.0000000000000027E-2</c:v>
                </c:pt>
                <c:pt idx="11">
                  <c:v>3.999999999999998E-2</c:v>
                </c:pt>
                <c:pt idx="12">
                  <c:v>4.0000000000000036E-2</c:v>
                </c:pt>
                <c:pt idx="13">
                  <c:v>8.9999999999999969E-2</c:v>
                </c:pt>
              </c:numCache>
            </c:numRef>
          </c:val>
          <c:extLst>
            <c:ext xmlns:c16="http://schemas.microsoft.com/office/drawing/2014/chart" uri="{C3380CC4-5D6E-409C-BE32-E72D297353CC}">
              <c16:uniqueId val="{00000008-E8D8-43D2-BE4A-C2301C85F401}"/>
            </c:ext>
          </c:extLst>
        </c:ser>
        <c:dLbls>
          <c:showLegendKey val="0"/>
          <c:showVal val="0"/>
          <c:showCatName val="0"/>
          <c:showSerName val="0"/>
          <c:showPercent val="0"/>
          <c:showBubbleSize val="0"/>
        </c:dLbls>
        <c:gapWidth val="219"/>
        <c:overlap val="-27"/>
        <c:axId val="1229030424"/>
        <c:axId val="1229026160"/>
      </c:barChart>
      <c:catAx>
        <c:axId val="1229030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9026160"/>
        <c:crosses val="autoZero"/>
        <c:auto val="1"/>
        <c:lblAlgn val="ctr"/>
        <c:lblOffset val="100"/>
        <c:noMultiLvlLbl val="0"/>
      </c:catAx>
      <c:valAx>
        <c:axId val="12290261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9030424"/>
        <c:crosses val="autoZero"/>
        <c:crossBetween val="between"/>
      </c:valAx>
      <c:spPr>
        <a:noFill/>
        <a:ln>
          <a:noFill/>
        </a:ln>
        <a:effectLst/>
      </c:spPr>
    </c:plotArea>
    <c:legend>
      <c:legendPos val="b"/>
      <c:layout>
        <c:manualLayout>
          <c:xMode val="edge"/>
          <c:yMode val="edge"/>
          <c:x val="7.5292026010597563E-2"/>
          <c:y val="3.2375706856676879E-3"/>
          <c:w val="0.43233615574255291"/>
          <c:h val="0.26174137400906383"/>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accent1">
          <a:lumMod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9D700EE2122A4690362C214753F247" ma:contentTypeVersion="10" ma:contentTypeDescription="Create a new document." ma:contentTypeScope="" ma:versionID="5697fb85c93b9f754813980b2ced0b95">
  <xsd:schema xmlns:xsd="http://www.w3.org/2001/XMLSchema" xmlns:xs="http://www.w3.org/2001/XMLSchema" xmlns:p="http://schemas.microsoft.com/office/2006/metadata/properties" xmlns:ns3="1e4e7088-102e-48c8-b207-9967376ae4d3" targetNamespace="http://schemas.microsoft.com/office/2006/metadata/properties" ma:root="true" ma:fieldsID="6432f4eda6a889b35e08e475c1af3288" ns3:_="">
    <xsd:import namespace="1e4e7088-102e-48c8-b207-9967376ae4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4e7088-102e-48c8-b207-9967376ae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1A211-0493-45D6-9923-6DC41ABB24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6E1FE5-FB8A-4C7D-9A13-3BB5259EDF8C}">
  <ds:schemaRefs>
    <ds:schemaRef ds:uri="http://schemas.microsoft.com/sharepoint/v3/contenttype/forms"/>
  </ds:schemaRefs>
</ds:datastoreItem>
</file>

<file path=customXml/itemProps3.xml><?xml version="1.0" encoding="utf-8"?>
<ds:datastoreItem xmlns:ds="http://schemas.openxmlformats.org/officeDocument/2006/customXml" ds:itemID="{6FDB2DE1-11E2-4006-95CB-36E60A8C9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4e7088-102e-48c8-b207-9967376ae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A02DF-A8C2-4410-A072-5BA4FF7C1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16</Pages>
  <Words>3550</Words>
  <Characters>20241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Hirsch</dc:creator>
  <cp:keywords/>
  <dc:description/>
  <cp:lastModifiedBy>Judith Cavanagh</cp:lastModifiedBy>
  <cp:revision>8</cp:revision>
  <dcterms:created xsi:type="dcterms:W3CDTF">2020-10-02T15:50:00Z</dcterms:created>
  <dcterms:modified xsi:type="dcterms:W3CDTF">2020-10-13T08:30:00Z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0x0101001E9D700EE2122A4690362C214753F247</vt:lpwstr>
  </property>
</Properties>
</file>