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50" w:rsidRPr="001B4350" w:rsidRDefault="001B4350" w:rsidP="001B4350">
      <w:pPr>
        <w:pStyle w:val="Default"/>
        <w:jc w:val="center"/>
        <w:rPr>
          <w:rFonts w:ascii="Verdana" w:hAnsi="Verdana"/>
          <w:b/>
          <w:sz w:val="28"/>
          <w:szCs w:val="20"/>
          <w:u w:val="single"/>
        </w:rPr>
      </w:pPr>
      <w:bookmarkStart w:id="0" w:name="_GoBack"/>
      <w:bookmarkEnd w:id="0"/>
      <w:r w:rsidRPr="001B4350">
        <w:rPr>
          <w:rFonts w:ascii="Verdana" w:hAnsi="Verdana"/>
          <w:b/>
          <w:sz w:val="28"/>
          <w:szCs w:val="20"/>
          <w:u w:val="single"/>
        </w:rPr>
        <w:t>ESIF – Barriers – Definitions</w:t>
      </w:r>
    </w:p>
    <w:p w:rsidR="001B4350" w:rsidRDefault="001B4350" w:rsidP="00DE354F">
      <w:pPr>
        <w:pStyle w:val="Default"/>
        <w:rPr>
          <w:rFonts w:ascii="Verdana" w:hAnsi="Verdana"/>
          <w:b/>
          <w:sz w:val="20"/>
          <w:szCs w:val="20"/>
          <w:u w:val="single"/>
        </w:rPr>
      </w:pPr>
    </w:p>
    <w:p w:rsidR="00DE354F" w:rsidRPr="00DE354F" w:rsidRDefault="00DE354F" w:rsidP="00DE354F">
      <w:pPr>
        <w:pStyle w:val="Default"/>
        <w:rPr>
          <w:b/>
          <w:sz w:val="22"/>
          <w:szCs w:val="22"/>
          <w:u w:val="single"/>
        </w:rPr>
      </w:pPr>
      <w:r w:rsidRPr="00DE354F">
        <w:rPr>
          <w:rFonts w:ascii="Verdana" w:hAnsi="Verdana"/>
          <w:b/>
          <w:sz w:val="20"/>
          <w:szCs w:val="20"/>
          <w:u w:val="single"/>
        </w:rPr>
        <w:t>Long-term unemployed</w:t>
      </w:r>
    </w:p>
    <w:p w:rsidR="00DE354F" w:rsidRDefault="00DE354F" w:rsidP="00DE354F">
      <w:pPr>
        <w:pStyle w:val="Default"/>
        <w:rPr>
          <w:sz w:val="22"/>
          <w:szCs w:val="22"/>
        </w:rPr>
      </w:pPr>
      <w:r w:rsidRPr="001B4350">
        <w:rPr>
          <w:i/>
          <w:sz w:val="22"/>
          <w:szCs w:val="22"/>
        </w:rPr>
        <w:t>Individuals who are registered as unemployed and in receipt of Jobseekers Allowance for</w:t>
      </w:r>
      <w:r w:rsidRPr="001B4350">
        <w:rPr>
          <w:i/>
          <w:sz w:val="22"/>
          <w:szCs w:val="22"/>
        </w:rPr>
        <w:t xml:space="preserve"> </w:t>
      </w:r>
      <w:r w:rsidR="000B418E" w:rsidRPr="001B4350">
        <w:rPr>
          <w:i/>
          <w:sz w:val="22"/>
          <w:szCs w:val="22"/>
        </w:rPr>
        <w:t>more than 6 months</w:t>
      </w:r>
      <w:r w:rsidR="000B418E">
        <w:rPr>
          <w:sz w:val="22"/>
          <w:szCs w:val="22"/>
        </w:rPr>
        <w:t>.</w:t>
      </w:r>
    </w:p>
    <w:p w:rsidR="00DE354F" w:rsidRPr="00DE354F" w:rsidRDefault="00DE354F" w:rsidP="00DE354F">
      <w:pPr>
        <w:pStyle w:val="Default"/>
        <w:rPr>
          <w:b/>
          <w:szCs w:val="22"/>
        </w:rPr>
      </w:pPr>
    </w:p>
    <w:p w:rsidR="00DE354F" w:rsidRDefault="00DE354F" w:rsidP="00DE354F">
      <w:pPr>
        <w:pStyle w:val="Default"/>
        <w:rPr>
          <w:rFonts w:ascii="Verdana" w:hAnsi="Verdana"/>
          <w:b/>
          <w:sz w:val="20"/>
          <w:szCs w:val="20"/>
          <w:u w:val="single"/>
        </w:rPr>
      </w:pPr>
      <w:r w:rsidRPr="00DE354F">
        <w:rPr>
          <w:rFonts w:ascii="Verdana" w:hAnsi="Verdana"/>
          <w:b/>
          <w:sz w:val="20"/>
          <w:szCs w:val="20"/>
          <w:u w:val="single"/>
        </w:rPr>
        <w:t>Living in a jobless household</w:t>
      </w:r>
    </w:p>
    <w:p w:rsidR="00DE354F" w:rsidRPr="001B4350" w:rsidRDefault="00DE354F" w:rsidP="00DE354F">
      <w:pPr>
        <w:pStyle w:val="Default"/>
        <w:rPr>
          <w:i/>
          <w:sz w:val="22"/>
          <w:szCs w:val="22"/>
        </w:rPr>
      </w:pPr>
      <w:r w:rsidRPr="001B4350">
        <w:rPr>
          <w:i/>
          <w:sz w:val="22"/>
          <w:szCs w:val="22"/>
        </w:rPr>
        <w:t>Households where no member is in employment i.e. all members are</w:t>
      </w:r>
      <w:r w:rsidRPr="001B4350">
        <w:rPr>
          <w:i/>
          <w:sz w:val="22"/>
          <w:szCs w:val="22"/>
        </w:rPr>
        <w:t xml:space="preserve"> either unemployed or inactive. </w:t>
      </w:r>
    </w:p>
    <w:p w:rsidR="00DE354F" w:rsidRDefault="00DE354F" w:rsidP="00DE354F">
      <w:pPr>
        <w:pStyle w:val="Default"/>
        <w:rPr>
          <w:sz w:val="22"/>
          <w:szCs w:val="22"/>
        </w:rPr>
      </w:pPr>
    </w:p>
    <w:p w:rsidR="00DE354F" w:rsidRPr="00DE354F" w:rsidRDefault="00DE354F" w:rsidP="00DE354F">
      <w:pPr>
        <w:pStyle w:val="Default"/>
        <w:rPr>
          <w:rFonts w:ascii="Verdana" w:hAnsi="Verdana"/>
          <w:b/>
          <w:sz w:val="20"/>
          <w:szCs w:val="20"/>
          <w:u w:val="single"/>
        </w:rPr>
      </w:pPr>
      <w:r w:rsidRPr="00DE354F">
        <w:rPr>
          <w:rFonts w:ascii="Verdana" w:hAnsi="Verdana"/>
          <w:b/>
          <w:sz w:val="20"/>
          <w:szCs w:val="20"/>
          <w:u w:val="single"/>
        </w:rPr>
        <w:t>Living in a jobless household with dependent children</w:t>
      </w:r>
    </w:p>
    <w:p w:rsidR="00DE354F" w:rsidRPr="001B4350" w:rsidRDefault="00DE354F" w:rsidP="00DE354F">
      <w:pPr>
        <w:pStyle w:val="Default"/>
        <w:rPr>
          <w:i/>
          <w:sz w:val="22"/>
          <w:szCs w:val="22"/>
        </w:rPr>
      </w:pPr>
      <w:r w:rsidRPr="001B4350">
        <w:rPr>
          <w:i/>
          <w:sz w:val="22"/>
          <w:szCs w:val="22"/>
        </w:rPr>
        <w:t xml:space="preserve">Definition on jobless household as above. </w:t>
      </w:r>
      <w:r w:rsidRPr="001B4350">
        <w:rPr>
          <w:i/>
          <w:sz w:val="22"/>
          <w:szCs w:val="22"/>
        </w:rPr>
        <w:t>Dependent children refers to individuals aged 0-17 years and 18-24 years if inactive and li</w:t>
      </w:r>
      <w:r w:rsidRPr="001B4350">
        <w:rPr>
          <w:i/>
          <w:sz w:val="22"/>
          <w:szCs w:val="22"/>
        </w:rPr>
        <w:t>ving with at least one parent.</w:t>
      </w:r>
    </w:p>
    <w:p w:rsidR="00DE354F" w:rsidRDefault="00DE354F" w:rsidP="00DE354F">
      <w:pPr>
        <w:pStyle w:val="Default"/>
        <w:rPr>
          <w:sz w:val="22"/>
          <w:szCs w:val="22"/>
        </w:rPr>
      </w:pPr>
    </w:p>
    <w:p w:rsidR="00DE354F" w:rsidRPr="00DE354F" w:rsidRDefault="00DE354F" w:rsidP="00DE354F">
      <w:pPr>
        <w:pStyle w:val="Default"/>
        <w:rPr>
          <w:rFonts w:ascii="Verdana" w:hAnsi="Verdana"/>
          <w:b/>
          <w:sz w:val="20"/>
          <w:szCs w:val="20"/>
          <w:u w:val="single"/>
        </w:rPr>
      </w:pPr>
      <w:r w:rsidRPr="00DE354F">
        <w:rPr>
          <w:rFonts w:ascii="Verdana" w:hAnsi="Verdana"/>
          <w:b/>
          <w:sz w:val="20"/>
          <w:szCs w:val="20"/>
          <w:u w:val="single"/>
        </w:rPr>
        <w:t>Living in a single adult household with dependent children</w:t>
      </w:r>
    </w:p>
    <w:p w:rsidR="00DE354F" w:rsidRPr="001B4350" w:rsidRDefault="00DE354F" w:rsidP="00DE354F">
      <w:pPr>
        <w:pStyle w:val="Default"/>
        <w:rPr>
          <w:i/>
          <w:sz w:val="22"/>
          <w:szCs w:val="22"/>
        </w:rPr>
      </w:pPr>
      <w:r w:rsidRPr="001B4350">
        <w:rPr>
          <w:i/>
          <w:sz w:val="22"/>
          <w:szCs w:val="22"/>
        </w:rPr>
        <w:t xml:space="preserve">An ‘adult’ is </w:t>
      </w:r>
      <w:r w:rsidRPr="001B4350">
        <w:rPr>
          <w:i/>
          <w:sz w:val="22"/>
          <w:szCs w:val="22"/>
        </w:rPr>
        <w:t xml:space="preserve">a person above 18 years of age. </w:t>
      </w:r>
      <w:r w:rsidRPr="001B4350">
        <w:rPr>
          <w:i/>
          <w:sz w:val="22"/>
          <w:szCs w:val="22"/>
        </w:rPr>
        <w:t>Dependent children refers to individuals aged 0-17 years and 18-24 years if inactive and living with at least one parent.</w:t>
      </w:r>
    </w:p>
    <w:p w:rsidR="00DE354F" w:rsidRDefault="00DE354F" w:rsidP="00DE354F">
      <w:pPr>
        <w:pStyle w:val="Default"/>
        <w:rPr>
          <w:sz w:val="22"/>
          <w:szCs w:val="22"/>
        </w:rPr>
      </w:pPr>
    </w:p>
    <w:p w:rsidR="00DE354F" w:rsidRDefault="00DE354F" w:rsidP="00DE354F">
      <w:pPr>
        <w:pStyle w:val="Default"/>
        <w:rPr>
          <w:rFonts w:ascii="Verdana" w:hAnsi="Verdana"/>
          <w:b/>
          <w:sz w:val="20"/>
          <w:szCs w:val="20"/>
          <w:u w:val="single"/>
        </w:rPr>
      </w:pPr>
      <w:r w:rsidRPr="00DE354F">
        <w:rPr>
          <w:rFonts w:ascii="Verdana" w:hAnsi="Verdana"/>
          <w:b/>
          <w:sz w:val="20"/>
          <w:szCs w:val="20"/>
          <w:u w:val="single"/>
        </w:rPr>
        <w:t>Disability</w:t>
      </w:r>
    </w:p>
    <w:p w:rsidR="00DE354F" w:rsidRPr="001B4350" w:rsidRDefault="00DE354F" w:rsidP="00DE354F">
      <w:pPr>
        <w:pStyle w:val="Default"/>
        <w:rPr>
          <w:i/>
          <w:sz w:val="22"/>
          <w:szCs w:val="22"/>
        </w:rPr>
      </w:pPr>
      <w:r w:rsidRPr="001B4350">
        <w:rPr>
          <w:i/>
          <w:sz w:val="22"/>
          <w:szCs w:val="22"/>
        </w:rPr>
        <w:t>Participants with disabilities</w:t>
      </w:r>
      <w:r w:rsidRPr="001B4350">
        <w:rPr>
          <w:i/>
          <w:sz w:val="22"/>
          <w:szCs w:val="22"/>
        </w:rPr>
        <w:t xml:space="preserve"> are persons who are registered disabled according to national definitions. </w:t>
      </w:r>
    </w:p>
    <w:p w:rsidR="00DE354F" w:rsidRDefault="00DE354F" w:rsidP="00DE354F">
      <w:pPr>
        <w:pStyle w:val="Default"/>
        <w:rPr>
          <w:sz w:val="22"/>
          <w:szCs w:val="22"/>
        </w:rPr>
      </w:pPr>
    </w:p>
    <w:p w:rsidR="00DE354F" w:rsidRPr="00DE354F" w:rsidRDefault="00DE354F" w:rsidP="00DE354F">
      <w:pPr>
        <w:pStyle w:val="Default"/>
        <w:rPr>
          <w:rFonts w:ascii="Verdana" w:hAnsi="Verdana"/>
          <w:b/>
          <w:sz w:val="20"/>
          <w:szCs w:val="20"/>
          <w:u w:val="single"/>
        </w:rPr>
      </w:pPr>
      <w:r w:rsidRPr="00DE354F">
        <w:rPr>
          <w:rFonts w:ascii="Verdana" w:hAnsi="Verdana"/>
          <w:b/>
          <w:sz w:val="20"/>
          <w:szCs w:val="20"/>
          <w:u w:val="single"/>
        </w:rPr>
        <w:t xml:space="preserve">Migrants, people with a foreign background, minorities </w:t>
      </w:r>
    </w:p>
    <w:p w:rsidR="004C297B" w:rsidRPr="001B4350" w:rsidRDefault="004C297B" w:rsidP="00DE354F">
      <w:pPr>
        <w:pStyle w:val="Default"/>
        <w:rPr>
          <w:b/>
          <w:sz w:val="22"/>
          <w:szCs w:val="22"/>
        </w:rPr>
      </w:pPr>
    </w:p>
    <w:p w:rsidR="00DE354F" w:rsidRPr="001B4350" w:rsidRDefault="00DE354F" w:rsidP="00DE354F">
      <w:pPr>
        <w:pStyle w:val="Default"/>
        <w:rPr>
          <w:i/>
          <w:sz w:val="22"/>
          <w:szCs w:val="22"/>
        </w:rPr>
      </w:pPr>
      <w:r w:rsidRPr="001B4350">
        <w:rPr>
          <w:b/>
          <w:i/>
          <w:sz w:val="22"/>
          <w:szCs w:val="22"/>
        </w:rPr>
        <w:t>Migrants</w:t>
      </w:r>
      <w:r w:rsidRPr="001B4350">
        <w:rPr>
          <w:i/>
          <w:sz w:val="22"/>
          <w:szCs w:val="22"/>
        </w:rPr>
        <w:t xml:space="preserve"> </w:t>
      </w:r>
      <w:r w:rsidRPr="001B4350">
        <w:rPr>
          <w:i/>
          <w:sz w:val="22"/>
          <w:szCs w:val="22"/>
        </w:rPr>
        <w:t xml:space="preserve">- </w:t>
      </w:r>
      <w:r w:rsidRPr="001B4350">
        <w:rPr>
          <w:i/>
          <w:sz w:val="22"/>
          <w:szCs w:val="22"/>
        </w:rPr>
        <w:t xml:space="preserve">Non-national permanent residents in a country, people with a foreign background or nationals from a minority (according to national definitions). </w:t>
      </w:r>
    </w:p>
    <w:p w:rsidR="004C297B" w:rsidRPr="001B4350" w:rsidRDefault="004C297B" w:rsidP="004C297B">
      <w:pPr>
        <w:pStyle w:val="Default"/>
        <w:rPr>
          <w:b/>
          <w:i/>
          <w:sz w:val="22"/>
          <w:szCs w:val="22"/>
        </w:rPr>
      </w:pPr>
    </w:p>
    <w:p w:rsidR="00DE354F" w:rsidRPr="001B4350" w:rsidRDefault="00DE354F" w:rsidP="004C297B">
      <w:pPr>
        <w:pStyle w:val="Default"/>
        <w:rPr>
          <w:i/>
          <w:sz w:val="22"/>
          <w:szCs w:val="22"/>
        </w:rPr>
      </w:pPr>
      <w:r w:rsidRPr="001B4350">
        <w:rPr>
          <w:b/>
          <w:i/>
          <w:sz w:val="22"/>
          <w:szCs w:val="22"/>
        </w:rPr>
        <w:t>Minorities -</w:t>
      </w:r>
      <w:r w:rsidRPr="001B4350">
        <w:rPr>
          <w:i/>
          <w:sz w:val="22"/>
          <w:szCs w:val="22"/>
        </w:rPr>
        <w:t xml:space="preserve"> </w:t>
      </w:r>
      <w:r w:rsidRPr="001B4350">
        <w:rPr>
          <w:i/>
          <w:sz w:val="22"/>
          <w:szCs w:val="22"/>
        </w:rPr>
        <w:t xml:space="preserve">There is no single definition of a minority group. In general, when linked with disadvantage, the term minority can be taken to refer to any group with personal characteristics that are subject to discrimination, which range from ethnicity or religious belief to sexual preference. </w:t>
      </w:r>
    </w:p>
    <w:p w:rsidR="004C297B" w:rsidRPr="001B4350" w:rsidRDefault="004C297B" w:rsidP="00DE354F">
      <w:pPr>
        <w:pStyle w:val="Default"/>
        <w:rPr>
          <w:b/>
          <w:bCs/>
          <w:i/>
          <w:sz w:val="22"/>
          <w:szCs w:val="22"/>
        </w:rPr>
      </w:pPr>
    </w:p>
    <w:p w:rsidR="00DE354F" w:rsidRPr="001B4350" w:rsidRDefault="00DE354F" w:rsidP="00DE354F">
      <w:pPr>
        <w:pStyle w:val="Default"/>
        <w:rPr>
          <w:i/>
          <w:sz w:val="22"/>
          <w:szCs w:val="22"/>
        </w:rPr>
      </w:pPr>
      <w:r w:rsidRPr="001B4350">
        <w:rPr>
          <w:b/>
          <w:i/>
          <w:sz w:val="22"/>
          <w:szCs w:val="22"/>
        </w:rPr>
        <w:t>Ethnic minority</w:t>
      </w:r>
      <w:r w:rsidRPr="001B4350">
        <w:rPr>
          <w:b/>
          <w:bCs/>
          <w:i/>
          <w:sz w:val="22"/>
          <w:szCs w:val="22"/>
        </w:rPr>
        <w:t xml:space="preserve"> </w:t>
      </w:r>
      <w:r w:rsidRPr="001B4350">
        <w:rPr>
          <w:i/>
          <w:sz w:val="22"/>
          <w:szCs w:val="22"/>
        </w:rPr>
        <w:t xml:space="preserve">– individuals with a different cultural tradition or background from </w:t>
      </w:r>
      <w:r w:rsidR="004C297B" w:rsidRPr="001B4350">
        <w:rPr>
          <w:i/>
          <w:sz w:val="22"/>
          <w:szCs w:val="22"/>
        </w:rPr>
        <w:t>the majority of the population</w:t>
      </w:r>
    </w:p>
    <w:p w:rsidR="004C297B" w:rsidRPr="001B4350" w:rsidRDefault="004C297B" w:rsidP="00DE354F">
      <w:pPr>
        <w:pStyle w:val="Default"/>
        <w:rPr>
          <w:i/>
          <w:sz w:val="22"/>
          <w:szCs w:val="22"/>
        </w:rPr>
      </w:pPr>
    </w:p>
    <w:p w:rsidR="00DE354F" w:rsidRPr="001B4350" w:rsidRDefault="00DE354F" w:rsidP="00DE354F">
      <w:pPr>
        <w:pStyle w:val="Default"/>
        <w:rPr>
          <w:i/>
          <w:sz w:val="22"/>
          <w:szCs w:val="22"/>
        </w:rPr>
      </w:pPr>
      <w:r w:rsidRPr="001B4350">
        <w:rPr>
          <w:b/>
          <w:i/>
          <w:sz w:val="22"/>
          <w:szCs w:val="22"/>
        </w:rPr>
        <w:t>National minority</w:t>
      </w:r>
      <w:r w:rsidRPr="001B4350">
        <w:rPr>
          <w:b/>
          <w:bCs/>
          <w:i/>
          <w:sz w:val="22"/>
          <w:szCs w:val="22"/>
        </w:rPr>
        <w:t xml:space="preserve"> </w:t>
      </w:r>
      <w:r w:rsidRPr="001B4350">
        <w:rPr>
          <w:i/>
          <w:sz w:val="22"/>
          <w:szCs w:val="22"/>
        </w:rPr>
        <w:t xml:space="preserve">– individuals from relatively well-established minority groups living in particular EU countries. National minorities have been established for a number of generations in some EU countries, such as Russians and Poles in the Baltic States, and the Hungarian minority in Romania. </w:t>
      </w:r>
    </w:p>
    <w:p w:rsidR="004C297B" w:rsidRPr="001B4350" w:rsidRDefault="004C297B" w:rsidP="00DE354F">
      <w:pPr>
        <w:pStyle w:val="Default"/>
        <w:rPr>
          <w:i/>
          <w:sz w:val="22"/>
          <w:szCs w:val="22"/>
        </w:rPr>
      </w:pPr>
    </w:p>
    <w:p w:rsidR="00DE354F" w:rsidRPr="001B4350" w:rsidRDefault="00DE354F" w:rsidP="00DE354F">
      <w:pPr>
        <w:pStyle w:val="Default"/>
        <w:rPr>
          <w:i/>
          <w:sz w:val="22"/>
          <w:szCs w:val="22"/>
        </w:rPr>
      </w:pPr>
      <w:r w:rsidRPr="001B4350">
        <w:rPr>
          <w:b/>
          <w:i/>
          <w:sz w:val="22"/>
          <w:szCs w:val="22"/>
        </w:rPr>
        <w:t>Indigenous minorities -</w:t>
      </w:r>
      <w:r w:rsidRPr="001B4350">
        <w:rPr>
          <w:i/>
          <w:sz w:val="22"/>
          <w:szCs w:val="22"/>
        </w:rPr>
        <w:t xml:space="preserve"> ethnic groups that are long-standing residents of a particular EU country. They may have a migrant, indigenous or landless nomadic background. </w:t>
      </w:r>
    </w:p>
    <w:p w:rsidR="004C297B" w:rsidRPr="001B4350" w:rsidRDefault="004C297B" w:rsidP="00DE354F">
      <w:pPr>
        <w:pStyle w:val="Default"/>
        <w:rPr>
          <w:i/>
          <w:sz w:val="22"/>
          <w:szCs w:val="22"/>
        </w:rPr>
      </w:pPr>
    </w:p>
    <w:p w:rsidR="00DE354F" w:rsidRPr="001B4350" w:rsidRDefault="00DE354F" w:rsidP="00DE354F">
      <w:pPr>
        <w:pStyle w:val="Default"/>
        <w:rPr>
          <w:b/>
          <w:i/>
          <w:sz w:val="22"/>
          <w:szCs w:val="22"/>
        </w:rPr>
      </w:pPr>
      <w:r w:rsidRPr="001B4350">
        <w:rPr>
          <w:b/>
          <w:i/>
          <w:sz w:val="22"/>
          <w:szCs w:val="22"/>
        </w:rPr>
        <w:t xml:space="preserve">Foreign background </w:t>
      </w:r>
      <w:r w:rsidR="000B418E" w:rsidRPr="001B4350">
        <w:rPr>
          <w:b/>
          <w:i/>
          <w:sz w:val="22"/>
          <w:szCs w:val="22"/>
        </w:rPr>
        <w:t xml:space="preserve">- </w:t>
      </w:r>
      <w:r w:rsidR="004C297B" w:rsidRPr="001B4350">
        <w:rPr>
          <w:i/>
          <w:sz w:val="22"/>
          <w:szCs w:val="22"/>
        </w:rPr>
        <w:t>P</w:t>
      </w:r>
      <w:r w:rsidRPr="001B4350">
        <w:rPr>
          <w:i/>
          <w:sz w:val="22"/>
          <w:szCs w:val="22"/>
        </w:rPr>
        <w:t>ersons with a f</w:t>
      </w:r>
      <w:r w:rsidR="004C297B" w:rsidRPr="001B4350">
        <w:rPr>
          <w:i/>
          <w:sz w:val="22"/>
          <w:szCs w:val="22"/>
        </w:rPr>
        <w:t xml:space="preserve">oreign background are </w:t>
      </w:r>
      <w:r w:rsidRPr="001B4350">
        <w:rPr>
          <w:i/>
          <w:sz w:val="22"/>
          <w:szCs w:val="22"/>
        </w:rPr>
        <w:t>persons whose parents were born outside the country. The persons in this group may or may not have directly experien</w:t>
      </w:r>
      <w:r w:rsidR="004C297B" w:rsidRPr="001B4350">
        <w:rPr>
          <w:i/>
          <w:sz w:val="22"/>
          <w:szCs w:val="22"/>
        </w:rPr>
        <w:t>ced an international migration.</w:t>
      </w:r>
    </w:p>
    <w:p w:rsidR="004C297B" w:rsidRDefault="004C297B" w:rsidP="00DE354F">
      <w:pPr>
        <w:pStyle w:val="Default"/>
        <w:rPr>
          <w:sz w:val="22"/>
          <w:szCs w:val="22"/>
        </w:rPr>
      </w:pPr>
    </w:p>
    <w:p w:rsidR="004C297B" w:rsidRDefault="004C297B" w:rsidP="00DE354F">
      <w:pPr>
        <w:pStyle w:val="Default"/>
        <w:rPr>
          <w:sz w:val="22"/>
          <w:szCs w:val="22"/>
        </w:rPr>
      </w:pPr>
    </w:p>
    <w:p w:rsidR="004C297B" w:rsidRPr="004C297B" w:rsidRDefault="004C297B" w:rsidP="00DE354F">
      <w:pPr>
        <w:pStyle w:val="Default"/>
        <w:rPr>
          <w:rFonts w:ascii="Verdana" w:hAnsi="Verdana"/>
          <w:b/>
          <w:sz w:val="20"/>
          <w:szCs w:val="20"/>
          <w:u w:val="single"/>
        </w:rPr>
      </w:pPr>
      <w:r w:rsidRPr="004C297B">
        <w:rPr>
          <w:rFonts w:ascii="Verdana" w:hAnsi="Verdana"/>
          <w:b/>
          <w:sz w:val="20"/>
          <w:szCs w:val="20"/>
          <w:u w:val="single"/>
        </w:rPr>
        <w:t>Homeless or affected by housing exclusion</w:t>
      </w:r>
    </w:p>
    <w:p w:rsidR="004C297B" w:rsidRPr="001B4350" w:rsidRDefault="004C297B" w:rsidP="004C297B">
      <w:pPr>
        <w:pStyle w:val="Default"/>
        <w:rPr>
          <w:i/>
          <w:sz w:val="22"/>
          <w:szCs w:val="22"/>
        </w:rPr>
      </w:pPr>
      <w:r w:rsidRPr="001B4350">
        <w:rPr>
          <w:i/>
          <w:sz w:val="22"/>
          <w:szCs w:val="22"/>
        </w:rPr>
        <w:t>T</w:t>
      </w:r>
      <w:r w:rsidRPr="001B4350">
        <w:rPr>
          <w:i/>
          <w:sz w:val="22"/>
          <w:szCs w:val="22"/>
        </w:rPr>
        <w:t>he following four living circumstances as</w:t>
      </w:r>
      <w:r w:rsidRPr="001B4350">
        <w:rPr>
          <w:i/>
          <w:sz w:val="22"/>
          <w:szCs w:val="22"/>
        </w:rPr>
        <w:t xml:space="preserve"> defined as </w:t>
      </w:r>
      <w:r w:rsidRPr="001B4350">
        <w:rPr>
          <w:i/>
          <w:sz w:val="22"/>
          <w:szCs w:val="22"/>
        </w:rPr>
        <w:t xml:space="preserve">homelessness or extreme forms of housing exclusion: </w:t>
      </w:r>
    </w:p>
    <w:p w:rsidR="004C297B" w:rsidRPr="001B4350" w:rsidRDefault="004C297B" w:rsidP="004C297B">
      <w:pPr>
        <w:pStyle w:val="Default"/>
        <w:rPr>
          <w:i/>
          <w:sz w:val="22"/>
          <w:szCs w:val="22"/>
        </w:rPr>
      </w:pPr>
      <w:r w:rsidRPr="001B4350">
        <w:rPr>
          <w:i/>
          <w:sz w:val="22"/>
          <w:szCs w:val="22"/>
        </w:rPr>
        <w:t xml:space="preserve"> Rooflessness (people living rough and people in emergency accommodation), </w:t>
      </w:r>
    </w:p>
    <w:p w:rsidR="004C297B" w:rsidRPr="001B4350" w:rsidRDefault="004C297B" w:rsidP="004C297B">
      <w:pPr>
        <w:pStyle w:val="Default"/>
        <w:rPr>
          <w:i/>
          <w:sz w:val="22"/>
          <w:szCs w:val="22"/>
        </w:rPr>
      </w:pPr>
      <w:r w:rsidRPr="001B4350">
        <w:rPr>
          <w:i/>
          <w:sz w:val="22"/>
          <w:szCs w:val="22"/>
        </w:rPr>
        <w:t xml:space="preserve"> Houselessness (people in accommodation for the homeless, in women's shelters, in accommodation for immigrants, people due to be released from institutions and people receiving long-term support due to homelessness), </w:t>
      </w:r>
    </w:p>
    <w:p w:rsidR="004C297B" w:rsidRPr="001B4350" w:rsidRDefault="004C297B" w:rsidP="004C297B">
      <w:pPr>
        <w:pStyle w:val="Default"/>
        <w:rPr>
          <w:i/>
          <w:sz w:val="22"/>
          <w:szCs w:val="22"/>
        </w:rPr>
      </w:pPr>
      <w:r w:rsidRPr="001B4350">
        <w:rPr>
          <w:i/>
          <w:sz w:val="22"/>
          <w:szCs w:val="22"/>
        </w:rPr>
        <w:t xml:space="preserve"> Insecure accommodation (people living in insecure tenancies, under threat of eviction or violence), and </w:t>
      </w:r>
    </w:p>
    <w:p w:rsidR="004C297B" w:rsidRPr="001B4350" w:rsidRDefault="004C297B" w:rsidP="004C297B">
      <w:pPr>
        <w:pStyle w:val="Default"/>
        <w:rPr>
          <w:i/>
          <w:sz w:val="22"/>
          <w:szCs w:val="22"/>
        </w:rPr>
      </w:pPr>
      <w:r w:rsidRPr="001B4350">
        <w:rPr>
          <w:i/>
          <w:sz w:val="22"/>
          <w:szCs w:val="22"/>
        </w:rPr>
        <w:lastRenderedPageBreak/>
        <w:t xml:space="preserve"> Inadequate housing (living in unfit housing, nonconventional dwellings e.g. in caravans without adequate access to public utilities such as water, electricity or gas or in situations of extreme overcrowding). </w:t>
      </w:r>
    </w:p>
    <w:p w:rsidR="0051270B" w:rsidRDefault="0051270B" w:rsidP="004C297B">
      <w:pPr>
        <w:pStyle w:val="Default"/>
        <w:rPr>
          <w:sz w:val="22"/>
          <w:szCs w:val="22"/>
        </w:rPr>
      </w:pPr>
    </w:p>
    <w:p w:rsidR="004C297B" w:rsidRPr="001B4350" w:rsidRDefault="004C297B" w:rsidP="004C297B">
      <w:pPr>
        <w:pStyle w:val="Default"/>
        <w:rPr>
          <w:b/>
          <w:bCs/>
          <w:sz w:val="22"/>
          <w:szCs w:val="22"/>
          <w:u w:val="single"/>
        </w:rPr>
      </w:pPr>
      <w:r w:rsidRPr="001B4350">
        <w:rPr>
          <w:b/>
          <w:bCs/>
          <w:sz w:val="22"/>
          <w:szCs w:val="22"/>
          <w:u w:val="single"/>
        </w:rPr>
        <w:t>Asylum seeker</w:t>
      </w:r>
    </w:p>
    <w:p w:rsidR="004C297B" w:rsidRPr="001B4350" w:rsidRDefault="004C297B" w:rsidP="004C297B">
      <w:pPr>
        <w:pStyle w:val="Default"/>
        <w:rPr>
          <w:i/>
          <w:sz w:val="22"/>
          <w:szCs w:val="22"/>
        </w:rPr>
      </w:pPr>
      <w:r w:rsidRPr="001B4350">
        <w:rPr>
          <w:i/>
          <w:sz w:val="22"/>
          <w:szCs w:val="22"/>
        </w:rPr>
        <w:t xml:space="preserve">An individual who ‘has applied for asylum and is waiting for a decision as to whether or not they are a refugee.’ </w:t>
      </w:r>
    </w:p>
    <w:p w:rsidR="004C297B" w:rsidRPr="001B4350" w:rsidRDefault="004C297B" w:rsidP="004C297B">
      <w:pPr>
        <w:pStyle w:val="Default"/>
        <w:rPr>
          <w:i/>
          <w:sz w:val="22"/>
          <w:szCs w:val="22"/>
        </w:rPr>
      </w:pPr>
      <w:r w:rsidRPr="001B4350">
        <w:rPr>
          <w:i/>
          <w:sz w:val="22"/>
          <w:szCs w:val="22"/>
        </w:rPr>
        <w:t xml:space="preserve">An asylum seeker is someone who has asked a Government for refugee status and is waiting to hear the outcome of their application. </w:t>
      </w:r>
    </w:p>
    <w:p w:rsidR="004C297B" w:rsidRDefault="004C297B" w:rsidP="004C297B">
      <w:pPr>
        <w:pStyle w:val="Default"/>
        <w:rPr>
          <w:sz w:val="22"/>
          <w:szCs w:val="22"/>
        </w:rPr>
      </w:pPr>
    </w:p>
    <w:p w:rsidR="004C297B" w:rsidRPr="001B4350" w:rsidRDefault="004C297B" w:rsidP="004C297B">
      <w:pPr>
        <w:pStyle w:val="Default"/>
        <w:rPr>
          <w:b/>
          <w:bCs/>
          <w:sz w:val="22"/>
          <w:szCs w:val="22"/>
          <w:u w:val="single"/>
        </w:rPr>
      </w:pPr>
      <w:r w:rsidRPr="001B4350">
        <w:rPr>
          <w:b/>
          <w:bCs/>
          <w:sz w:val="22"/>
          <w:szCs w:val="22"/>
          <w:u w:val="single"/>
        </w:rPr>
        <w:t>Refugee</w:t>
      </w:r>
    </w:p>
    <w:p w:rsidR="004C297B" w:rsidRDefault="004C297B" w:rsidP="004C297B">
      <w:pPr>
        <w:pStyle w:val="Default"/>
        <w:rPr>
          <w:sz w:val="22"/>
          <w:szCs w:val="22"/>
        </w:rPr>
      </w:pPr>
      <w:r w:rsidRPr="001B4350">
        <w:rPr>
          <w:i/>
          <w:sz w:val="22"/>
          <w:szCs w:val="22"/>
        </w:rPr>
        <w:t>An individual who 'owing to a well-founded fear of being persecuted for reasons of race, religion, nationality, membership of a particular social group, or political opinion, is outside the country of his nationality, and is unable to or, owing to such fear, is unwilling to avail himself of</w:t>
      </w:r>
      <w:r w:rsidRPr="001B4350">
        <w:rPr>
          <w:i/>
          <w:sz w:val="22"/>
          <w:szCs w:val="22"/>
        </w:rPr>
        <w:t xml:space="preserve"> the protection of that country’</w:t>
      </w:r>
      <w:r>
        <w:rPr>
          <w:sz w:val="22"/>
          <w:szCs w:val="22"/>
        </w:rPr>
        <w:t>.</w:t>
      </w:r>
      <w:r>
        <w:rPr>
          <w:sz w:val="22"/>
          <w:szCs w:val="22"/>
        </w:rPr>
        <w:t xml:space="preserve"> </w:t>
      </w:r>
    </w:p>
    <w:p w:rsidR="004C297B" w:rsidRPr="001B4350" w:rsidRDefault="004C297B" w:rsidP="004C297B">
      <w:pPr>
        <w:pStyle w:val="Default"/>
        <w:rPr>
          <w:sz w:val="22"/>
          <w:szCs w:val="22"/>
          <w:u w:val="single"/>
        </w:rPr>
      </w:pPr>
    </w:p>
    <w:p w:rsidR="004C297B" w:rsidRPr="001B4350" w:rsidRDefault="000B418E" w:rsidP="004C297B">
      <w:pPr>
        <w:pStyle w:val="Default"/>
        <w:rPr>
          <w:b/>
          <w:bCs/>
          <w:sz w:val="22"/>
          <w:szCs w:val="22"/>
          <w:u w:val="single"/>
        </w:rPr>
      </w:pPr>
      <w:r w:rsidRPr="001B4350">
        <w:rPr>
          <w:b/>
          <w:bCs/>
          <w:sz w:val="22"/>
          <w:szCs w:val="22"/>
          <w:u w:val="single"/>
        </w:rPr>
        <w:t>Primary carer of older person</w:t>
      </w:r>
    </w:p>
    <w:p w:rsidR="000B418E" w:rsidRPr="001B4350" w:rsidRDefault="000B418E" w:rsidP="000B418E">
      <w:pPr>
        <w:pStyle w:val="Default"/>
        <w:rPr>
          <w:i/>
          <w:sz w:val="22"/>
          <w:szCs w:val="22"/>
        </w:rPr>
      </w:pPr>
      <w:r w:rsidRPr="001B4350">
        <w:rPr>
          <w:i/>
          <w:sz w:val="22"/>
          <w:szCs w:val="22"/>
        </w:rPr>
        <w:t>Primary carer for a person over the age of 65 (this is the threshold used to qua</w:t>
      </w:r>
      <w:r w:rsidRPr="001B4350">
        <w:rPr>
          <w:i/>
          <w:sz w:val="22"/>
          <w:szCs w:val="22"/>
        </w:rPr>
        <w:t>lify for Attendance Allowance).</w:t>
      </w:r>
    </w:p>
    <w:p w:rsidR="000B418E" w:rsidRDefault="000B418E" w:rsidP="004C297B">
      <w:pPr>
        <w:pStyle w:val="Default"/>
        <w:rPr>
          <w:rFonts w:ascii="Verdana" w:hAnsi="Verdana"/>
          <w:sz w:val="20"/>
          <w:szCs w:val="20"/>
        </w:rPr>
      </w:pPr>
    </w:p>
    <w:p w:rsidR="000B418E" w:rsidRPr="001B4350" w:rsidRDefault="000B418E" w:rsidP="004C297B">
      <w:pPr>
        <w:pStyle w:val="Default"/>
        <w:rPr>
          <w:b/>
          <w:bCs/>
          <w:sz w:val="22"/>
          <w:szCs w:val="22"/>
          <w:u w:val="single"/>
        </w:rPr>
      </w:pPr>
      <w:r w:rsidRPr="001B4350">
        <w:rPr>
          <w:b/>
          <w:bCs/>
          <w:sz w:val="22"/>
          <w:szCs w:val="22"/>
          <w:u w:val="single"/>
        </w:rPr>
        <w:t>Primary carer of a child/children (under 18) or adult</w:t>
      </w:r>
    </w:p>
    <w:p w:rsidR="00790301" w:rsidRPr="001B4350" w:rsidRDefault="00790301" w:rsidP="00790301">
      <w:pPr>
        <w:pStyle w:val="Default"/>
        <w:rPr>
          <w:i/>
          <w:sz w:val="22"/>
          <w:szCs w:val="22"/>
        </w:rPr>
      </w:pPr>
      <w:r w:rsidRPr="001B4350">
        <w:rPr>
          <w:i/>
          <w:sz w:val="22"/>
          <w:szCs w:val="22"/>
        </w:rPr>
        <w:t xml:space="preserve">Primary carer of a child/children (under 18) or adult. </w:t>
      </w:r>
    </w:p>
    <w:p w:rsidR="00790301" w:rsidRDefault="00790301" w:rsidP="004C297B">
      <w:pPr>
        <w:pStyle w:val="Default"/>
        <w:rPr>
          <w:rFonts w:ascii="Verdana" w:hAnsi="Verdana"/>
          <w:sz w:val="20"/>
          <w:szCs w:val="20"/>
        </w:rPr>
      </w:pPr>
    </w:p>
    <w:p w:rsidR="000B418E" w:rsidRPr="001B4350" w:rsidRDefault="000B418E" w:rsidP="004C297B">
      <w:pPr>
        <w:pStyle w:val="Default"/>
        <w:rPr>
          <w:b/>
          <w:bCs/>
          <w:sz w:val="22"/>
          <w:szCs w:val="22"/>
          <w:u w:val="single"/>
        </w:rPr>
      </w:pPr>
      <w:r w:rsidRPr="001B4350">
        <w:rPr>
          <w:b/>
          <w:bCs/>
          <w:sz w:val="22"/>
          <w:szCs w:val="22"/>
          <w:u w:val="single"/>
        </w:rPr>
        <w:t>Underemployed</w:t>
      </w:r>
    </w:p>
    <w:p w:rsidR="007B0ADA" w:rsidRPr="001B4350" w:rsidRDefault="007B0ADA" w:rsidP="007B0ADA">
      <w:pPr>
        <w:pStyle w:val="Default"/>
        <w:rPr>
          <w:i/>
          <w:sz w:val="22"/>
          <w:szCs w:val="22"/>
        </w:rPr>
      </w:pPr>
      <w:r w:rsidRPr="001B4350">
        <w:rPr>
          <w:i/>
          <w:sz w:val="22"/>
          <w:szCs w:val="22"/>
        </w:rPr>
        <w:t>A</w:t>
      </w:r>
      <w:r w:rsidRPr="001B4350">
        <w:rPr>
          <w:i/>
          <w:sz w:val="22"/>
          <w:szCs w:val="22"/>
        </w:rPr>
        <w:t xml:space="preserve">n employment situation that is insufficient in some important way for the worker </w:t>
      </w:r>
    </w:p>
    <w:p w:rsidR="007B0ADA" w:rsidRPr="001B4350" w:rsidRDefault="007B0ADA" w:rsidP="007B0ADA">
      <w:pPr>
        <w:pStyle w:val="Default"/>
        <w:rPr>
          <w:i/>
          <w:sz w:val="22"/>
          <w:szCs w:val="22"/>
        </w:rPr>
      </w:pPr>
      <w:r w:rsidRPr="001B4350">
        <w:rPr>
          <w:i/>
          <w:sz w:val="22"/>
          <w:szCs w:val="22"/>
        </w:rPr>
        <w:t xml:space="preserve">Examples include </w:t>
      </w:r>
    </w:p>
    <w:p w:rsidR="007B0ADA" w:rsidRPr="001B4350" w:rsidRDefault="007B0ADA" w:rsidP="007B0ADA">
      <w:pPr>
        <w:pStyle w:val="Default"/>
        <w:rPr>
          <w:i/>
          <w:sz w:val="22"/>
          <w:szCs w:val="22"/>
        </w:rPr>
      </w:pPr>
      <w:r w:rsidRPr="001B4350">
        <w:rPr>
          <w:i/>
          <w:sz w:val="20"/>
          <w:szCs w:val="20"/>
        </w:rPr>
        <w:t xml:space="preserve"> </w:t>
      </w:r>
      <w:r w:rsidRPr="001B4350">
        <w:rPr>
          <w:i/>
          <w:sz w:val="22"/>
          <w:szCs w:val="22"/>
        </w:rPr>
        <w:t xml:space="preserve">holding a part-time job despite desiring full-time work, </w:t>
      </w:r>
    </w:p>
    <w:p w:rsidR="007B0ADA" w:rsidRPr="001B4350" w:rsidRDefault="007B0ADA" w:rsidP="007B0ADA">
      <w:pPr>
        <w:pStyle w:val="Default"/>
        <w:rPr>
          <w:i/>
          <w:sz w:val="22"/>
          <w:szCs w:val="22"/>
        </w:rPr>
      </w:pPr>
      <w:r w:rsidRPr="001B4350">
        <w:rPr>
          <w:i/>
          <w:sz w:val="20"/>
          <w:szCs w:val="20"/>
        </w:rPr>
        <w:t xml:space="preserve"> </w:t>
      </w:r>
      <w:r w:rsidRPr="001B4350">
        <w:rPr>
          <w:i/>
          <w:sz w:val="22"/>
          <w:szCs w:val="22"/>
        </w:rPr>
        <w:t xml:space="preserve">skills underutilisation - where the employee has education, experience, or skills beyond the requirements of the job. </w:t>
      </w:r>
    </w:p>
    <w:p w:rsidR="007B0ADA" w:rsidRDefault="007B0ADA" w:rsidP="007B0ADA">
      <w:pPr>
        <w:pStyle w:val="Default"/>
        <w:rPr>
          <w:sz w:val="22"/>
          <w:szCs w:val="22"/>
        </w:rPr>
      </w:pPr>
    </w:p>
    <w:p w:rsidR="007B0ADA" w:rsidRPr="001B4350" w:rsidRDefault="000B418E" w:rsidP="000B418E">
      <w:pPr>
        <w:tabs>
          <w:tab w:val="left" w:pos="357"/>
          <w:tab w:val="left" w:pos="3011"/>
          <w:tab w:val="left" w:pos="6400"/>
          <w:tab w:val="left" w:pos="7547"/>
        </w:tabs>
        <w:spacing w:after="0" w:line="240" w:lineRule="auto"/>
        <w:rPr>
          <w:rFonts w:ascii="Verdana" w:hAnsi="Verdana"/>
          <w:sz w:val="20"/>
          <w:szCs w:val="20"/>
          <w:u w:val="single"/>
        </w:rPr>
      </w:pPr>
      <w:r w:rsidRPr="001B4350">
        <w:rPr>
          <w:rFonts w:ascii="Arial" w:hAnsi="Arial" w:cs="Arial"/>
          <w:b/>
          <w:bCs/>
          <w:color w:val="000000"/>
          <w:u w:val="single"/>
          <w:lang w:eastAsia="en-GB"/>
        </w:rPr>
        <w:t xml:space="preserve">Low income employed </w:t>
      </w:r>
    </w:p>
    <w:p w:rsidR="007B0ADA" w:rsidRPr="001B4350" w:rsidRDefault="007B0ADA" w:rsidP="007B0ADA">
      <w:pPr>
        <w:pStyle w:val="Default"/>
        <w:rPr>
          <w:i/>
          <w:sz w:val="22"/>
          <w:szCs w:val="22"/>
        </w:rPr>
      </w:pPr>
      <w:r w:rsidRPr="001B4350">
        <w:rPr>
          <w:i/>
          <w:sz w:val="22"/>
          <w:szCs w:val="22"/>
        </w:rPr>
        <w:t xml:space="preserve">“Income below 60% of the national median equivalised disposable income after social transfers. “ </w:t>
      </w:r>
    </w:p>
    <w:p w:rsidR="007B0ADA" w:rsidRPr="001B4350" w:rsidRDefault="007B0ADA" w:rsidP="007B0ADA">
      <w:pPr>
        <w:pStyle w:val="Default"/>
        <w:rPr>
          <w:i/>
          <w:sz w:val="22"/>
          <w:szCs w:val="22"/>
        </w:rPr>
      </w:pPr>
      <w:r w:rsidRPr="001B4350">
        <w:rPr>
          <w:i/>
          <w:sz w:val="22"/>
          <w:szCs w:val="22"/>
        </w:rPr>
        <w:t xml:space="preserve">The Scottish Government Analytical Services Division uses the following methodology: </w:t>
      </w:r>
    </w:p>
    <w:p w:rsidR="007B0ADA" w:rsidRPr="001B4350" w:rsidRDefault="007B0ADA" w:rsidP="007B0ADA">
      <w:pPr>
        <w:pStyle w:val="Default"/>
        <w:rPr>
          <w:i/>
          <w:sz w:val="22"/>
          <w:szCs w:val="22"/>
        </w:rPr>
      </w:pPr>
      <w:r w:rsidRPr="001B4350">
        <w:rPr>
          <w:i/>
          <w:sz w:val="22"/>
          <w:szCs w:val="22"/>
        </w:rPr>
        <w:t>Total household income (after taxes, benefits and earnings of all household members) is equivalised to take account of household size e.g. a household with two adults and three children would need greate</w:t>
      </w:r>
      <w:r w:rsidRPr="001B4350">
        <w:rPr>
          <w:i/>
          <w:sz w:val="22"/>
          <w:szCs w:val="22"/>
        </w:rPr>
        <w:t xml:space="preserve">r resources than a single adult. </w:t>
      </w:r>
      <w:r w:rsidRPr="001B4350">
        <w:rPr>
          <w:i/>
          <w:sz w:val="22"/>
          <w:szCs w:val="22"/>
        </w:rPr>
        <w:t xml:space="preserve">The poverty threshold is 60% of the UK median – a ‘reference household’ is a couple with no children. </w:t>
      </w:r>
    </w:p>
    <w:p w:rsidR="007B0ADA" w:rsidRPr="001B4350" w:rsidRDefault="007B0ADA" w:rsidP="007B0ADA">
      <w:pPr>
        <w:pStyle w:val="Default"/>
        <w:rPr>
          <w:i/>
          <w:sz w:val="22"/>
          <w:szCs w:val="22"/>
        </w:rPr>
      </w:pPr>
      <w:r w:rsidRPr="001B4350">
        <w:rPr>
          <w:i/>
          <w:sz w:val="22"/>
          <w:szCs w:val="22"/>
        </w:rPr>
        <w:t xml:space="preserve">Based on the 2013 / 2014 figures – the current poverty threshold is £272 a week (or £14,200 a year) for a couple (with no children) </w:t>
      </w:r>
    </w:p>
    <w:p w:rsidR="007B0ADA" w:rsidRDefault="007B0ADA" w:rsidP="007B0ADA">
      <w:pPr>
        <w:pStyle w:val="Default"/>
        <w:rPr>
          <w:sz w:val="22"/>
          <w:szCs w:val="22"/>
        </w:rPr>
      </w:pPr>
    </w:p>
    <w:p w:rsidR="007B0ADA" w:rsidRPr="001B4350" w:rsidRDefault="000B418E" w:rsidP="007B0ADA">
      <w:pPr>
        <w:pStyle w:val="Default"/>
        <w:rPr>
          <w:b/>
          <w:bCs/>
          <w:sz w:val="22"/>
          <w:szCs w:val="22"/>
          <w:u w:val="single"/>
        </w:rPr>
      </w:pPr>
      <w:r w:rsidRPr="001B4350">
        <w:rPr>
          <w:b/>
          <w:bCs/>
          <w:sz w:val="22"/>
          <w:szCs w:val="22"/>
          <w:u w:val="single"/>
        </w:rPr>
        <w:t xml:space="preserve">Looked after young person </w:t>
      </w:r>
    </w:p>
    <w:p w:rsidR="007B0ADA" w:rsidRPr="001B4350" w:rsidRDefault="007B0ADA" w:rsidP="007B0ADA">
      <w:pPr>
        <w:pStyle w:val="Default"/>
        <w:rPr>
          <w:i/>
          <w:sz w:val="22"/>
          <w:szCs w:val="22"/>
        </w:rPr>
      </w:pPr>
      <w:r w:rsidRPr="001B4350">
        <w:rPr>
          <w:i/>
          <w:sz w:val="22"/>
          <w:szCs w:val="22"/>
        </w:rPr>
        <w:t xml:space="preserve">Under the provisions of the Children (Scotland) Act 1995, 'Looked </w:t>
      </w:r>
      <w:proofErr w:type="gramStart"/>
      <w:r w:rsidRPr="001B4350">
        <w:rPr>
          <w:i/>
          <w:sz w:val="22"/>
          <w:szCs w:val="22"/>
        </w:rPr>
        <w:t>After</w:t>
      </w:r>
      <w:proofErr w:type="gramEnd"/>
      <w:r w:rsidRPr="001B4350">
        <w:rPr>
          <w:i/>
          <w:sz w:val="22"/>
          <w:szCs w:val="22"/>
        </w:rPr>
        <w:t xml:space="preserve"> Children' are defined as those in the care of their local authority. The majority will come into one of these categories: </w:t>
      </w:r>
    </w:p>
    <w:p w:rsidR="007B0ADA" w:rsidRPr="001B4350" w:rsidRDefault="007B0ADA" w:rsidP="007B0ADA">
      <w:pPr>
        <w:pStyle w:val="Default"/>
        <w:rPr>
          <w:i/>
          <w:sz w:val="22"/>
          <w:szCs w:val="22"/>
        </w:rPr>
      </w:pPr>
      <w:r w:rsidRPr="001B4350">
        <w:rPr>
          <w:i/>
          <w:sz w:val="22"/>
          <w:szCs w:val="22"/>
        </w:rPr>
        <w:t xml:space="preserve"> </w:t>
      </w:r>
      <w:proofErr w:type="gramStart"/>
      <w:r w:rsidRPr="001B4350">
        <w:rPr>
          <w:i/>
          <w:sz w:val="22"/>
          <w:szCs w:val="22"/>
        </w:rPr>
        <w:t>Looked</w:t>
      </w:r>
      <w:proofErr w:type="gramEnd"/>
      <w:r w:rsidRPr="001B4350">
        <w:rPr>
          <w:i/>
          <w:sz w:val="22"/>
          <w:szCs w:val="22"/>
        </w:rPr>
        <w:t xml:space="preserve"> after at home </w:t>
      </w:r>
    </w:p>
    <w:p w:rsidR="007B0ADA" w:rsidRPr="001B4350" w:rsidRDefault="007B0ADA" w:rsidP="007B0ADA">
      <w:pPr>
        <w:pStyle w:val="Default"/>
        <w:rPr>
          <w:i/>
          <w:sz w:val="22"/>
          <w:szCs w:val="22"/>
        </w:rPr>
      </w:pPr>
      <w:r w:rsidRPr="001B4350">
        <w:rPr>
          <w:i/>
          <w:sz w:val="22"/>
          <w:szCs w:val="22"/>
        </w:rPr>
        <w:t xml:space="preserve"> </w:t>
      </w:r>
      <w:proofErr w:type="gramStart"/>
      <w:r w:rsidRPr="001B4350">
        <w:rPr>
          <w:i/>
          <w:sz w:val="22"/>
          <w:szCs w:val="22"/>
        </w:rPr>
        <w:t>Looked</w:t>
      </w:r>
      <w:proofErr w:type="gramEnd"/>
      <w:r w:rsidRPr="001B4350">
        <w:rPr>
          <w:i/>
          <w:sz w:val="22"/>
          <w:szCs w:val="22"/>
        </w:rPr>
        <w:t xml:space="preserve"> after away from home </w:t>
      </w:r>
    </w:p>
    <w:p w:rsidR="007B0ADA" w:rsidRPr="001B4350" w:rsidRDefault="007B0ADA" w:rsidP="007B0ADA">
      <w:pPr>
        <w:pStyle w:val="Default"/>
        <w:rPr>
          <w:i/>
          <w:sz w:val="22"/>
          <w:szCs w:val="22"/>
        </w:rPr>
      </w:pPr>
      <w:r w:rsidRPr="001B4350">
        <w:rPr>
          <w:i/>
          <w:sz w:val="22"/>
          <w:szCs w:val="22"/>
        </w:rPr>
        <w:t xml:space="preserve">This definition also includes young people leaving care up to and including the age of 25. </w:t>
      </w:r>
    </w:p>
    <w:p w:rsidR="000B418E" w:rsidRDefault="000B418E" w:rsidP="000B418E">
      <w:pPr>
        <w:tabs>
          <w:tab w:val="left" w:pos="357"/>
          <w:tab w:val="left" w:pos="3011"/>
          <w:tab w:val="left" w:pos="6400"/>
          <w:tab w:val="left" w:pos="7547"/>
        </w:tabs>
        <w:spacing w:after="0" w:line="240" w:lineRule="auto"/>
        <w:rPr>
          <w:rFonts w:ascii="Verdana" w:hAnsi="Verdana"/>
          <w:sz w:val="20"/>
          <w:szCs w:val="20"/>
        </w:rPr>
      </w:pPr>
    </w:p>
    <w:p w:rsidR="000B418E" w:rsidRPr="001B4350" w:rsidRDefault="000B418E" w:rsidP="000B418E">
      <w:pPr>
        <w:tabs>
          <w:tab w:val="left" w:pos="357"/>
          <w:tab w:val="left" w:pos="3011"/>
          <w:tab w:val="left" w:pos="6400"/>
          <w:tab w:val="left" w:pos="7547"/>
        </w:tabs>
        <w:spacing w:after="0" w:line="240" w:lineRule="auto"/>
        <w:rPr>
          <w:rFonts w:ascii="Verdana" w:hAnsi="Verdana"/>
          <w:sz w:val="20"/>
          <w:szCs w:val="20"/>
          <w:u w:val="single"/>
        </w:rPr>
      </w:pPr>
      <w:r w:rsidRPr="001B4350">
        <w:rPr>
          <w:rFonts w:ascii="Arial" w:hAnsi="Arial" w:cs="Arial"/>
          <w:b/>
          <w:bCs/>
          <w:color w:val="000000"/>
          <w:u w:val="single"/>
          <w:lang w:eastAsia="en-GB"/>
        </w:rPr>
        <w:t xml:space="preserve">Criminal convictions </w:t>
      </w:r>
    </w:p>
    <w:p w:rsidR="007B0ADA" w:rsidRPr="001B4350" w:rsidRDefault="007B0ADA" w:rsidP="007B0ADA">
      <w:pPr>
        <w:pStyle w:val="Default"/>
        <w:rPr>
          <w:i/>
          <w:sz w:val="22"/>
          <w:szCs w:val="22"/>
        </w:rPr>
      </w:pPr>
      <w:r w:rsidRPr="001B4350">
        <w:rPr>
          <w:i/>
          <w:sz w:val="22"/>
          <w:szCs w:val="22"/>
        </w:rPr>
        <w:t xml:space="preserve">This relates to any crime that an individual has been convicted of that has not been ‘spent’ or is exempt from becoming ‘spent’. </w:t>
      </w:r>
    </w:p>
    <w:p w:rsidR="007B0ADA" w:rsidRPr="001B4350" w:rsidRDefault="007B0ADA" w:rsidP="007B0ADA">
      <w:pPr>
        <w:pStyle w:val="Default"/>
        <w:rPr>
          <w:i/>
          <w:sz w:val="22"/>
          <w:szCs w:val="22"/>
        </w:rPr>
      </w:pPr>
      <w:r w:rsidRPr="001B4350">
        <w:rPr>
          <w:i/>
          <w:sz w:val="22"/>
          <w:szCs w:val="22"/>
        </w:rPr>
        <w:t xml:space="preserve">The Rehabilitation of Offenders Act 1974 (ROA) states that anyone who has been convicted of a criminal offence and sentenced to less than two and a half years in prison can be regarded as rehabilitated after a specified period with no further </w:t>
      </w:r>
      <w:r w:rsidRPr="001B4350">
        <w:rPr>
          <w:i/>
          <w:sz w:val="22"/>
          <w:szCs w:val="22"/>
        </w:rPr>
        <w:lastRenderedPageBreak/>
        <w:t xml:space="preserve">convictions. After the specified period the original conviction is considered to be spent. The specified period varies between 6 months and 10 years depending on the length of sentence. Convictions involving sentences of over 2.5 years are never spent. </w:t>
      </w:r>
    </w:p>
    <w:p w:rsidR="007B0ADA" w:rsidRPr="001F5150" w:rsidRDefault="007B0ADA" w:rsidP="000B418E">
      <w:pPr>
        <w:tabs>
          <w:tab w:val="left" w:pos="357"/>
          <w:tab w:val="left" w:pos="3011"/>
          <w:tab w:val="left" w:pos="6400"/>
          <w:tab w:val="left" w:pos="7547"/>
        </w:tabs>
        <w:spacing w:after="0" w:line="240" w:lineRule="auto"/>
        <w:rPr>
          <w:rFonts w:ascii="Verdana" w:hAnsi="Verdana"/>
          <w:sz w:val="20"/>
          <w:szCs w:val="20"/>
        </w:rPr>
      </w:pPr>
    </w:p>
    <w:p w:rsidR="007B0ADA" w:rsidRPr="0051270B" w:rsidRDefault="000B418E" w:rsidP="007B0ADA">
      <w:pPr>
        <w:tabs>
          <w:tab w:val="left" w:pos="357"/>
          <w:tab w:val="left" w:pos="3011"/>
          <w:tab w:val="left" w:pos="6400"/>
          <w:tab w:val="left" w:pos="7547"/>
        </w:tabs>
        <w:spacing w:after="0" w:line="240" w:lineRule="auto"/>
        <w:rPr>
          <w:rFonts w:ascii="Arial" w:hAnsi="Arial" w:cs="Arial"/>
          <w:b/>
          <w:bCs/>
          <w:color w:val="000000"/>
          <w:u w:val="single"/>
          <w:lang w:eastAsia="en-GB"/>
        </w:rPr>
      </w:pPr>
      <w:r w:rsidRPr="0051270B">
        <w:rPr>
          <w:rFonts w:ascii="Arial" w:hAnsi="Arial" w:cs="Arial"/>
          <w:b/>
          <w:bCs/>
          <w:color w:val="000000"/>
          <w:u w:val="single"/>
          <w:lang w:eastAsia="en-GB"/>
        </w:rPr>
        <w:t>Long-term physical illness / condition</w:t>
      </w:r>
    </w:p>
    <w:p w:rsidR="007B0ADA" w:rsidRPr="0051270B" w:rsidRDefault="007B0ADA" w:rsidP="007B0ADA">
      <w:pPr>
        <w:pStyle w:val="Default"/>
        <w:rPr>
          <w:i/>
          <w:sz w:val="22"/>
          <w:szCs w:val="22"/>
        </w:rPr>
      </w:pPr>
      <w:r w:rsidRPr="0051270B">
        <w:rPr>
          <w:i/>
          <w:sz w:val="22"/>
          <w:szCs w:val="22"/>
        </w:rPr>
        <w:t xml:space="preserve"> “</w:t>
      </w:r>
      <w:proofErr w:type="gramStart"/>
      <w:r w:rsidRPr="0051270B">
        <w:rPr>
          <w:i/>
          <w:sz w:val="22"/>
          <w:szCs w:val="22"/>
        </w:rPr>
        <w:t>long-term</w:t>
      </w:r>
      <w:proofErr w:type="gramEnd"/>
      <w:r w:rsidRPr="0051270B">
        <w:rPr>
          <w:i/>
          <w:sz w:val="22"/>
          <w:szCs w:val="22"/>
        </w:rPr>
        <w:t xml:space="preserve"> physical, mental, intellectual, or sensory impairments which in interaction with various barriers may hinder their full and effective participation in society o</w:t>
      </w:r>
      <w:r w:rsidRPr="0051270B">
        <w:rPr>
          <w:i/>
          <w:sz w:val="22"/>
          <w:szCs w:val="22"/>
        </w:rPr>
        <w:t>n an equal basis with others.”</w:t>
      </w:r>
    </w:p>
    <w:p w:rsidR="007B0ADA" w:rsidRPr="0051270B" w:rsidRDefault="007B0ADA" w:rsidP="007B0ADA">
      <w:pPr>
        <w:pStyle w:val="Default"/>
        <w:rPr>
          <w:i/>
          <w:sz w:val="22"/>
          <w:szCs w:val="22"/>
        </w:rPr>
      </w:pPr>
    </w:p>
    <w:p w:rsidR="007B0ADA" w:rsidRPr="0051270B" w:rsidRDefault="007B0ADA" w:rsidP="007B0ADA">
      <w:pPr>
        <w:pStyle w:val="Default"/>
        <w:rPr>
          <w:i/>
          <w:sz w:val="22"/>
          <w:szCs w:val="22"/>
        </w:rPr>
      </w:pPr>
      <w:r w:rsidRPr="0051270B">
        <w:rPr>
          <w:i/>
          <w:sz w:val="22"/>
          <w:szCs w:val="22"/>
        </w:rPr>
        <w:t xml:space="preserve">The Equality Act (2010) states that ‘long-term’ is defined as a period of 12 months or more. </w:t>
      </w:r>
    </w:p>
    <w:p w:rsidR="007B0ADA" w:rsidRDefault="000B418E" w:rsidP="007B0ADA">
      <w:pPr>
        <w:tabs>
          <w:tab w:val="left" w:pos="357"/>
          <w:tab w:val="left" w:pos="3011"/>
          <w:tab w:val="left" w:pos="4081"/>
          <w:tab w:val="left" w:pos="7547"/>
        </w:tabs>
        <w:spacing w:after="0" w:line="240" w:lineRule="auto"/>
        <w:rPr>
          <w:rFonts w:ascii="Verdana" w:hAnsi="Verdana"/>
          <w:sz w:val="20"/>
          <w:szCs w:val="20"/>
        </w:rPr>
      </w:pPr>
      <w:r w:rsidRPr="001F5150">
        <w:rPr>
          <w:rFonts w:ascii="Verdana" w:hAnsi="Verdana"/>
          <w:sz w:val="20"/>
          <w:szCs w:val="20"/>
        </w:rPr>
        <w:tab/>
      </w:r>
    </w:p>
    <w:p w:rsidR="007B0ADA" w:rsidRPr="0051270B" w:rsidRDefault="000B418E" w:rsidP="000B418E">
      <w:pPr>
        <w:tabs>
          <w:tab w:val="left" w:pos="357"/>
          <w:tab w:val="left" w:pos="3011"/>
          <w:tab w:val="left" w:pos="4081"/>
          <w:tab w:val="left" w:pos="7547"/>
        </w:tabs>
        <w:spacing w:after="0" w:line="240" w:lineRule="auto"/>
        <w:rPr>
          <w:rFonts w:ascii="Arial" w:hAnsi="Arial" w:cs="Arial"/>
          <w:b/>
          <w:bCs/>
          <w:color w:val="000000"/>
          <w:u w:val="single"/>
          <w:lang w:eastAsia="en-GB"/>
        </w:rPr>
      </w:pPr>
      <w:r w:rsidRPr="0051270B">
        <w:rPr>
          <w:rFonts w:ascii="Arial" w:hAnsi="Arial" w:cs="Arial"/>
          <w:b/>
          <w:bCs/>
          <w:color w:val="000000"/>
          <w:u w:val="single"/>
          <w:lang w:eastAsia="en-GB"/>
        </w:rPr>
        <w:t xml:space="preserve">Mental health issues </w:t>
      </w:r>
    </w:p>
    <w:p w:rsidR="007B0ADA" w:rsidRPr="0051270B" w:rsidRDefault="007B0ADA" w:rsidP="007B0ADA">
      <w:pPr>
        <w:pStyle w:val="Default"/>
        <w:jc w:val="both"/>
        <w:rPr>
          <w:i/>
          <w:sz w:val="22"/>
          <w:szCs w:val="22"/>
        </w:rPr>
      </w:pPr>
      <w:r w:rsidRPr="0051270B">
        <w:rPr>
          <w:i/>
          <w:sz w:val="22"/>
          <w:szCs w:val="22"/>
        </w:rPr>
        <w:t xml:space="preserve">Mental Health issues affect the way an individual thinks, feels and behaves, often has an impact on their day-to-day life and their ability to relate to others. </w:t>
      </w:r>
    </w:p>
    <w:p w:rsidR="007B0ADA" w:rsidRPr="0051270B" w:rsidRDefault="007B0ADA" w:rsidP="007B0ADA">
      <w:pPr>
        <w:pStyle w:val="Default"/>
        <w:jc w:val="both"/>
        <w:rPr>
          <w:i/>
          <w:sz w:val="22"/>
          <w:szCs w:val="22"/>
        </w:rPr>
      </w:pPr>
      <w:r w:rsidRPr="0051270B">
        <w:rPr>
          <w:i/>
          <w:sz w:val="22"/>
          <w:szCs w:val="22"/>
        </w:rPr>
        <w:t xml:space="preserve">The following list is indicative, but not inclusive, of the range of mental health issues that may be experienced: </w:t>
      </w:r>
    </w:p>
    <w:p w:rsidR="007B0ADA" w:rsidRPr="0051270B" w:rsidRDefault="007B0ADA" w:rsidP="007B0ADA">
      <w:pPr>
        <w:pStyle w:val="Default"/>
        <w:rPr>
          <w:i/>
          <w:sz w:val="22"/>
          <w:szCs w:val="22"/>
        </w:rPr>
      </w:pPr>
      <w:r w:rsidRPr="0051270B">
        <w:rPr>
          <w:i/>
          <w:sz w:val="22"/>
          <w:szCs w:val="22"/>
        </w:rPr>
        <w:t xml:space="preserve"> Depression </w:t>
      </w:r>
    </w:p>
    <w:p w:rsidR="007B0ADA" w:rsidRPr="0051270B" w:rsidRDefault="007B0ADA" w:rsidP="007B0ADA">
      <w:pPr>
        <w:pStyle w:val="Default"/>
        <w:rPr>
          <w:i/>
          <w:sz w:val="22"/>
          <w:szCs w:val="22"/>
        </w:rPr>
      </w:pPr>
      <w:r w:rsidRPr="0051270B">
        <w:rPr>
          <w:i/>
          <w:sz w:val="22"/>
          <w:szCs w:val="22"/>
        </w:rPr>
        <w:t xml:space="preserve"> Anxiety </w:t>
      </w:r>
    </w:p>
    <w:p w:rsidR="007B0ADA" w:rsidRPr="0051270B" w:rsidRDefault="007B0ADA" w:rsidP="007B0ADA">
      <w:pPr>
        <w:pStyle w:val="Default"/>
        <w:rPr>
          <w:i/>
          <w:sz w:val="22"/>
          <w:szCs w:val="22"/>
        </w:rPr>
      </w:pPr>
      <w:r w:rsidRPr="0051270B">
        <w:rPr>
          <w:i/>
          <w:sz w:val="22"/>
          <w:szCs w:val="22"/>
        </w:rPr>
        <w:t xml:space="preserve"> Phobias </w:t>
      </w:r>
    </w:p>
    <w:p w:rsidR="007B0ADA" w:rsidRPr="0051270B" w:rsidRDefault="007B0ADA" w:rsidP="007B0ADA">
      <w:pPr>
        <w:pStyle w:val="Default"/>
        <w:rPr>
          <w:i/>
          <w:sz w:val="22"/>
          <w:szCs w:val="22"/>
        </w:rPr>
      </w:pPr>
      <w:r w:rsidRPr="0051270B">
        <w:rPr>
          <w:i/>
          <w:sz w:val="22"/>
          <w:szCs w:val="22"/>
        </w:rPr>
        <w:t xml:space="preserve"> Eating Disorders </w:t>
      </w:r>
    </w:p>
    <w:p w:rsidR="007B0ADA" w:rsidRPr="0051270B" w:rsidRDefault="007B0ADA" w:rsidP="007B0ADA">
      <w:pPr>
        <w:pStyle w:val="Default"/>
        <w:rPr>
          <w:i/>
          <w:sz w:val="22"/>
          <w:szCs w:val="22"/>
        </w:rPr>
      </w:pPr>
      <w:r w:rsidRPr="0051270B">
        <w:rPr>
          <w:i/>
          <w:sz w:val="22"/>
          <w:szCs w:val="22"/>
        </w:rPr>
        <w:t xml:space="preserve"> Personality Disorders </w:t>
      </w:r>
    </w:p>
    <w:p w:rsidR="000B418E" w:rsidRDefault="000B418E" w:rsidP="000B418E">
      <w:pPr>
        <w:tabs>
          <w:tab w:val="left" w:pos="357"/>
          <w:tab w:val="left" w:pos="3011"/>
          <w:tab w:val="left" w:pos="4081"/>
          <w:tab w:val="left" w:pos="7547"/>
        </w:tabs>
        <w:spacing w:after="0" w:line="240" w:lineRule="auto"/>
        <w:rPr>
          <w:rFonts w:ascii="Verdana" w:hAnsi="Verdana"/>
          <w:sz w:val="20"/>
          <w:szCs w:val="20"/>
        </w:rPr>
      </w:pPr>
      <w:r w:rsidRPr="001F5150">
        <w:rPr>
          <w:rFonts w:ascii="Verdana" w:hAnsi="Verdana"/>
          <w:sz w:val="20"/>
          <w:szCs w:val="20"/>
        </w:rPr>
        <w:tab/>
      </w:r>
    </w:p>
    <w:p w:rsidR="000B418E" w:rsidRPr="0051270B" w:rsidRDefault="000B418E" w:rsidP="000B418E">
      <w:pPr>
        <w:tabs>
          <w:tab w:val="left" w:pos="357"/>
          <w:tab w:val="left" w:pos="3011"/>
          <w:tab w:val="left" w:pos="4081"/>
          <w:tab w:val="left" w:pos="7547"/>
        </w:tabs>
        <w:spacing w:after="0" w:line="240" w:lineRule="auto"/>
        <w:rPr>
          <w:rFonts w:ascii="Verdana" w:hAnsi="Verdana"/>
          <w:sz w:val="20"/>
          <w:szCs w:val="20"/>
          <w:u w:val="single"/>
        </w:rPr>
      </w:pPr>
      <w:r w:rsidRPr="0051270B">
        <w:rPr>
          <w:rFonts w:ascii="Arial" w:hAnsi="Arial" w:cs="Arial"/>
          <w:b/>
          <w:bCs/>
          <w:color w:val="000000"/>
          <w:u w:val="single"/>
          <w:lang w:eastAsia="en-GB"/>
        </w:rPr>
        <w:t xml:space="preserve">No work experience </w:t>
      </w:r>
    </w:p>
    <w:p w:rsidR="007B0ADA" w:rsidRPr="0051270B" w:rsidRDefault="007B0ADA" w:rsidP="007B0ADA">
      <w:pPr>
        <w:pStyle w:val="Default"/>
        <w:rPr>
          <w:i/>
          <w:sz w:val="22"/>
          <w:szCs w:val="22"/>
        </w:rPr>
      </w:pPr>
      <w:r w:rsidRPr="0051270B">
        <w:rPr>
          <w:i/>
          <w:sz w:val="22"/>
          <w:szCs w:val="22"/>
        </w:rPr>
        <w:t xml:space="preserve">Individuals who have no experience of paid employment. </w:t>
      </w:r>
    </w:p>
    <w:p w:rsidR="000B418E" w:rsidRDefault="000B418E" w:rsidP="000B418E">
      <w:pPr>
        <w:tabs>
          <w:tab w:val="left" w:pos="357"/>
          <w:tab w:val="left" w:pos="3436"/>
          <w:tab w:val="left" w:pos="5421"/>
          <w:tab w:val="left" w:pos="7547"/>
        </w:tabs>
        <w:spacing w:after="0" w:line="240" w:lineRule="auto"/>
        <w:rPr>
          <w:rFonts w:ascii="Verdana" w:hAnsi="Verdana"/>
          <w:sz w:val="20"/>
          <w:szCs w:val="20"/>
        </w:rPr>
      </w:pPr>
    </w:p>
    <w:p w:rsidR="007B0ADA" w:rsidRPr="0051270B" w:rsidRDefault="000B418E" w:rsidP="000B418E">
      <w:pPr>
        <w:tabs>
          <w:tab w:val="left" w:pos="357"/>
          <w:tab w:val="left" w:pos="3436"/>
          <w:tab w:val="left" w:pos="5421"/>
          <w:tab w:val="left" w:pos="7547"/>
        </w:tabs>
        <w:spacing w:after="0" w:line="240" w:lineRule="auto"/>
        <w:rPr>
          <w:rFonts w:ascii="Verdana" w:hAnsi="Verdana"/>
          <w:sz w:val="20"/>
          <w:szCs w:val="20"/>
          <w:u w:val="single"/>
        </w:rPr>
      </w:pPr>
      <w:r w:rsidRPr="0051270B">
        <w:rPr>
          <w:rFonts w:ascii="Arial" w:hAnsi="Arial" w:cs="Arial"/>
          <w:b/>
          <w:bCs/>
          <w:color w:val="000000"/>
          <w:u w:val="single"/>
          <w:lang w:eastAsia="en-GB"/>
        </w:rPr>
        <w:t>Substance related conditions</w:t>
      </w:r>
      <w:r w:rsidRPr="0051270B">
        <w:rPr>
          <w:rFonts w:ascii="Verdana" w:hAnsi="Verdana"/>
          <w:sz w:val="20"/>
          <w:szCs w:val="20"/>
          <w:u w:val="single"/>
        </w:rPr>
        <w:t xml:space="preserve"> </w:t>
      </w:r>
    </w:p>
    <w:p w:rsidR="007B0ADA" w:rsidRPr="0051270B" w:rsidRDefault="007B0ADA" w:rsidP="007B0ADA">
      <w:pPr>
        <w:pStyle w:val="Default"/>
        <w:rPr>
          <w:i/>
          <w:sz w:val="22"/>
          <w:szCs w:val="22"/>
        </w:rPr>
      </w:pPr>
      <w:r w:rsidRPr="0051270B">
        <w:rPr>
          <w:i/>
          <w:sz w:val="22"/>
          <w:szCs w:val="22"/>
        </w:rPr>
        <w:t xml:space="preserve">The continued misuse of substances (typically alcohol or drugs) that severely affects an individual’s physical and mental health, social situation and responsibilities. </w:t>
      </w:r>
    </w:p>
    <w:p w:rsidR="0051270B" w:rsidRDefault="0051270B" w:rsidP="0051270B">
      <w:pPr>
        <w:tabs>
          <w:tab w:val="left" w:pos="357"/>
          <w:tab w:val="left" w:pos="3436"/>
          <w:tab w:val="left" w:pos="5421"/>
          <w:tab w:val="left" w:pos="7547"/>
        </w:tabs>
        <w:spacing w:after="0" w:line="240" w:lineRule="auto"/>
        <w:rPr>
          <w:rFonts w:ascii="Arial" w:hAnsi="Arial" w:cs="Arial"/>
          <w:b/>
          <w:bCs/>
          <w:color w:val="000000"/>
          <w:lang w:eastAsia="en-GB"/>
        </w:rPr>
      </w:pPr>
    </w:p>
    <w:p w:rsidR="007B0ADA" w:rsidRPr="0051270B" w:rsidRDefault="000B418E" w:rsidP="0051270B">
      <w:pPr>
        <w:tabs>
          <w:tab w:val="left" w:pos="357"/>
          <w:tab w:val="left" w:pos="3436"/>
          <w:tab w:val="left" w:pos="5421"/>
          <w:tab w:val="left" w:pos="7547"/>
        </w:tabs>
        <w:spacing w:after="0" w:line="240" w:lineRule="auto"/>
        <w:rPr>
          <w:rFonts w:ascii="Arial" w:hAnsi="Arial" w:cs="Arial"/>
          <w:b/>
          <w:bCs/>
          <w:color w:val="000000"/>
          <w:lang w:eastAsia="en-GB"/>
        </w:rPr>
      </w:pPr>
      <w:r w:rsidRPr="0051270B">
        <w:rPr>
          <w:rFonts w:ascii="Arial" w:hAnsi="Arial" w:cs="Arial"/>
          <w:b/>
          <w:bCs/>
          <w:color w:val="000000"/>
          <w:u w:val="single"/>
          <w:lang w:eastAsia="en-GB"/>
        </w:rPr>
        <w:t>Low skilled</w:t>
      </w:r>
      <w:r w:rsidRPr="0051270B">
        <w:rPr>
          <w:rFonts w:ascii="Verdana" w:hAnsi="Verdana"/>
          <w:sz w:val="20"/>
          <w:szCs w:val="20"/>
          <w:u w:val="single"/>
        </w:rPr>
        <w:t xml:space="preserve"> </w:t>
      </w:r>
    </w:p>
    <w:p w:rsidR="004B2D1C" w:rsidRPr="0051270B" w:rsidRDefault="004B2D1C" w:rsidP="004B2D1C">
      <w:pPr>
        <w:tabs>
          <w:tab w:val="left" w:pos="357"/>
          <w:tab w:val="left" w:pos="3436"/>
          <w:tab w:val="left" w:pos="5421"/>
          <w:tab w:val="left" w:pos="7547"/>
        </w:tabs>
        <w:spacing w:after="0" w:line="240" w:lineRule="auto"/>
        <w:rPr>
          <w:rFonts w:ascii="Arial" w:hAnsi="Arial" w:cs="Arial"/>
          <w:i/>
          <w:color w:val="000000"/>
          <w:lang w:eastAsia="en-GB"/>
        </w:rPr>
      </w:pPr>
      <w:r w:rsidRPr="0051270B">
        <w:rPr>
          <w:rFonts w:ascii="Arial" w:hAnsi="Arial" w:cs="Arial"/>
          <w:i/>
          <w:color w:val="000000"/>
          <w:lang w:eastAsia="en-GB"/>
        </w:rPr>
        <w:t>Individual’s highest level of qualification is at ISCED Level 2 or below.</w:t>
      </w:r>
      <w:r w:rsidRPr="0051270B">
        <w:rPr>
          <w:rFonts w:ascii="Arial" w:hAnsi="Arial" w:cs="Arial"/>
          <w:i/>
          <w:color w:val="000000"/>
          <w:lang w:eastAsia="en-GB"/>
        </w:rPr>
        <w:t xml:space="preserve"> See below for </w:t>
      </w:r>
    </w:p>
    <w:p w:rsidR="004B2D1C" w:rsidRPr="004B2D1C" w:rsidRDefault="004B2D1C" w:rsidP="004B2D1C">
      <w:pPr>
        <w:tabs>
          <w:tab w:val="left" w:pos="357"/>
          <w:tab w:val="left" w:pos="3436"/>
          <w:tab w:val="left" w:pos="5421"/>
          <w:tab w:val="left" w:pos="7547"/>
        </w:tabs>
        <w:spacing w:after="0" w:line="240" w:lineRule="auto"/>
        <w:rPr>
          <w:rFonts w:ascii="Arial" w:hAnsi="Arial" w:cs="Arial"/>
          <w:color w:val="000000"/>
          <w:lang w:eastAsia="en-GB"/>
        </w:rPr>
      </w:pPr>
      <w:r w:rsidRPr="0051270B">
        <w:rPr>
          <w:rFonts w:ascii="Arial" w:hAnsi="Arial" w:cs="Arial"/>
          <w:i/>
          <w:color w:val="000000"/>
          <w:lang w:eastAsia="en-GB"/>
        </w:rPr>
        <w:t>A table comparing the Commission ISCED levels to Scottish Qualification levels</w:t>
      </w:r>
      <w:r w:rsidRPr="004B2D1C">
        <w:rPr>
          <w:rFonts w:ascii="Arial" w:hAnsi="Arial" w:cs="Arial"/>
          <w:color w:val="000000"/>
          <w:lang w:eastAsia="en-GB"/>
        </w:rPr>
        <w:t xml:space="preserve">: </w:t>
      </w:r>
    </w:p>
    <w:p w:rsidR="004B2D1C" w:rsidRDefault="004B2D1C" w:rsidP="004B2D1C">
      <w:pPr>
        <w:tabs>
          <w:tab w:val="left" w:pos="357"/>
          <w:tab w:val="left" w:pos="3436"/>
          <w:tab w:val="left" w:pos="5421"/>
          <w:tab w:val="left" w:pos="7547"/>
        </w:tabs>
        <w:spacing w:after="0" w:line="240" w:lineRule="auto"/>
        <w:rPr>
          <w:rFonts w:ascii="Verdana" w:hAnsi="Verdana"/>
          <w:sz w:val="20"/>
          <w:szCs w:val="20"/>
        </w:rPr>
      </w:pPr>
    </w:p>
    <w:p w:rsidR="004B2D1C" w:rsidRDefault="004B2D1C" w:rsidP="000B418E">
      <w:pPr>
        <w:tabs>
          <w:tab w:val="left" w:pos="357"/>
          <w:tab w:val="left" w:pos="3436"/>
          <w:tab w:val="left" w:pos="5421"/>
          <w:tab w:val="left" w:pos="7547"/>
        </w:tabs>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1129"/>
        <w:gridCol w:w="3544"/>
        <w:gridCol w:w="1559"/>
      </w:tblGrid>
      <w:tr w:rsidR="004B2D1C" w:rsidTr="00A717CA">
        <w:tc>
          <w:tcPr>
            <w:tcW w:w="1129" w:type="dxa"/>
            <w:shd w:val="clear" w:color="auto" w:fill="D9E2F3" w:themeFill="accent5" w:themeFillTint="33"/>
          </w:tcPr>
          <w:p w:rsidR="004B2D1C" w:rsidRPr="00DF67F8" w:rsidRDefault="004B2D1C" w:rsidP="0051270B">
            <w:pPr>
              <w:jc w:val="center"/>
              <w:rPr>
                <w:b/>
              </w:rPr>
            </w:pPr>
            <w:r w:rsidRPr="00DF67F8">
              <w:rPr>
                <w:b/>
              </w:rPr>
              <w:t>SCQF Levels</w:t>
            </w:r>
          </w:p>
        </w:tc>
        <w:tc>
          <w:tcPr>
            <w:tcW w:w="3544" w:type="dxa"/>
            <w:shd w:val="clear" w:color="auto" w:fill="D9E2F3" w:themeFill="accent5" w:themeFillTint="33"/>
          </w:tcPr>
          <w:p w:rsidR="004B2D1C" w:rsidRPr="00DF67F8" w:rsidRDefault="004B2D1C" w:rsidP="0051270B">
            <w:pPr>
              <w:jc w:val="center"/>
              <w:rPr>
                <w:b/>
              </w:rPr>
            </w:pPr>
            <w:r w:rsidRPr="00DF67F8">
              <w:rPr>
                <w:b/>
              </w:rPr>
              <w:t>National</w:t>
            </w:r>
            <w:r>
              <w:rPr>
                <w:b/>
              </w:rPr>
              <w:t xml:space="preserve"> C</w:t>
            </w:r>
            <w:r w:rsidRPr="00DF67F8">
              <w:rPr>
                <w:b/>
              </w:rPr>
              <w:t>ourses</w:t>
            </w:r>
          </w:p>
        </w:tc>
        <w:tc>
          <w:tcPr>
            <w:tcW w:w="1559" w:type="dxa"/>
            <w:shd w:val="clear" w:color="auto" w:fill="D9E2F3" w:themeFill="accent5" w:themeFillTint="33"/>
          </w:tcPr>
          <w:p w:rsidR="004B2D1C" w:rsidRPr="00DF67F8" w:rsidRDefault="004B2D1C" w:rsidP="0051270B">
            <w:pPr>
              <w:jc w:val="center"/>
              <w:rPr>
                <w:b/>
              </w:rPr>
            </w:pPr>
            <w:r w:rsidRPr="00DF67F8">
              <w:rPr>
                <w:b/>
              </w:rPr>
              <w:t>ISCED Levels</w:t>
            </w:r>
          </w:p>
        </w:tc>
      </w:tr>
      <w:tr w:rsidR="004B2D1C" w:rsidTr="00A717CA">
        <w:tc>
          <w:tcPr>
            <w:tcW w:w="1129" w:type="dxa"/>
          </w:tcPr>
          <w:p w:rsidR="004B2D1C" w:rsidRDefault="004B2D1C" w:rsidP="0051270B">
            <w:pPr>
              <w:jc w:val="center"/>
            </w:pPr>
            <w:r>
              <w:t>7</w:t>
            </w:r>
          </w:p>
          <w:p w:rsidR="004B2D1C" w:rsidRDefault="004B2D1C" w:rsidP="0051270B">
            <w:pPr>
              <w:jc w:val="center"/>
            </w:pPr>
          </w:p>
        </w:tc>
        <w:tc>
          <w:tcPr>
            <w:tcW w:w="3544" w:type="dxa"/>
          </w:tcPr>
          <w:p w:rsidR="004B2D1C" w:rsidRDefault="004B2D1C" w:rsidP="0051270B">
            <w:pPr>
              <w:pStyle w:val="NoSpacing"/>
              <w:jc w:val="center"/>
            </w:pPr>
            <w:r>
              <w:t>New Advanced Higher</w:t>
            </w:r>
          </w:p>
          <w:p w:rsidR="004B2D1C" w:rsidRDefault="004B2D1C" w:rsidP="0051270B">
            <w:pPr>
              <w:pStyle w:val="NoSpacing"/>
              <w:jc w:val="center"/>
            </w:pPr>
            <w:r>
              <w:t>Advanced Higher</w:t>
            </w:r>
          </w:p>
          <w:p w:rsidR="004B2D1C" w:rsidRDefault="004B2D1C" w:rsidP="0051270B">
            <w:pPr>
              <w:pStyle w:val="NoSpacing"/>
              <w:jc w:val="center"/>
            </w:pPr>
            <w:r>
              <w:t>Scottish Baccalaureates</w:t>
            </w:r>
          </w:p>
        </w:tc>
        <w:tc>
          <w:tcPr>
            <w:tcW w:w="1559" w:type="dxa"/>
            <w:vMerge w:val="restart"/>
          </w:tcPr>
          <w:p w:rsidR="004B2D1C" w:rsidRDefault="004B2D1C" w:rsidP="0051270B">
            <w:pPr>
              <w:jc w:val="center"/>
            </w:pPr>
          </w:p>
          <w:p w:rsidR="004B2D1C" w:rsidRDefault="004B2D1C" w:rsidP="0051270B">
            <w:pPr>
              <w:jc w:val="center"/>
            </w:pPr>
          </w:p>
          <w:p w:rsidR="004B2D1C" w:rsidRDefault="004B2D1C" w:rsidP="0051270B">
            <w:pPr>
              <w:jc w:val="center"/>
            </w:pPr>
          </w:p>
          <w:p w:rsidR="004B2D1C" w:rsidRDefault="004B2D1C" w:rsidP="0051270B">
            <w:pPr>
              <w:jc w:val="center"/>
            </w:pPr>
            <w:r>
              <w:t>Level 3</w:t>
            </w:r>
          </w:p>
        </w:tc>
      </w:tr>
      <w:tr w:rsidR="004B2D1C" w:rsidTr="00A717CA">
        <w:tc>
          <w:tcPr>
            <w:tcW w:w="1129" w:type="dxa"/>
          </w:tcPr>
          <w:p w:rsidR="004B2D1C" w:rsidRDefault="004B2D1C" w:rsidP="0051270B">
            <w:pPr>
              <w:jc w:val="center"/>
            </w:pPr>
            <w:r>
              <w:t>6</w:t>
            </w:r>
          </w:p>
          <w:p w:rsidR="004B2D1C" w:rsidRDefault="004B2D1C" w:rsidP="0051270B">
            <w:pPr>
              <w:jc w:val="center"/>
            </w:pPr>
          </w:p>
        </w:tc>
        <w:tc>
          <w:tcPr>
            <w:tcW w:w="3544" w:type="dxa"/>
          </w:tcPr>
          <w:p w:rsidR="004B2D1C" w:rsidRDefault="004B2D1C" w:rsidP="0051270B">
            <w:pPr>
              <w:pStyle w:val="NoSpacing"/>
              <w:jc w:val="center"/>
            </w:pPr>
            <w:r>
              <w:t>New Higher</w:t>
            </w:r>
          </w:p>
          <w:p w:rsidR="004B2D1C" w:rsidRDefault="004B2D1C" w:rsidP="0051270B">
            <w:pPr>
              <w:pStyle w:val="NoSpacing"/>
              <w:jc w:val="center"/>
            </w:pPr>
            <w:r>
              <w:t>Higher</w:t>
            </w:r>
          </w:p>
          <w:p w:rsidR="004B2D1C" w:rsidRDefault="004B2D1C" w:rsidP="0051270B">
            <w:pPr>
              <w:pStyle w:val="NoSpacing"/>
              <w:jc w:val="center"/>
            </w:pPr>
            <w:r>
              <w:t>Skills for Work Higher</w:t>
            </w:r>
          </w:p>
        </w:tc>
        <w:tc>
          <w:tcPr>
            <w:tcW w:w="1559" w:type="dxa"/>
            <w:vMerge/>
          </w:tcPr>
          <w:p w:rsidR="004B2D1C" w:rsidRDefault="004B2D1C" w:rsidP="0051270B">
            <w:pPr>
              <w:jc w:val="center"/>
            </w:pPr>
          </w:p>
        </w:tc>
      </w:tr>
      <w:tr w:rsidR="004B2D1C" w:rsidTr="00A717CA">
        <w:tc>
          <w:tcPr>
            <w:tcW w:w="1129" w:type="dxa"/>
          </w:tcPr>
          <w:p w:rsidR="004B2D1C" w:rsidRDefault="004B2D1C" w:rsidP="0051270B">
            <w:pPr>
              <w:jc w:val="center"/>
            </w:pPr>
            <w:r>
              <w:t>5</w:t>
            </w:r>
          </w:p>
          <w:p w:rsidR="004B2D1C" w:rsidRDefault="004B2D1C" w:rsidP="0051270B">
            <w:pPr>
              <w:jc w:val="center"/>
            </w:pPr>
          </w:p>
        </w:tc>
        <w:tc>
          <w:tcPr>
            <w:tcW w:w="3544" w:type="dxa"/>
          </w:tcPr>
          <w:p w:rsidR="004B2D1C" w:rsidRDefault="004B2D1C" w:rsidP="0051270B">
            <w:pPr>
              <w:pStyle w:val="NoSpacing"/>
              <w:jc w:val="center"/>
            </w:pPr>
            <w:r>
              <w:t>N</w:t>
            </w:r>
            <w:r>
              <w:t>ational 5</w:t>
            </w:r>
          </w:p>
          <w:p w:rsidR="004B2D1C" w:rsidRDefault="004B2D1C" w:rsidP="0051270B">
            <w:pPr>
              <w:pStyle w:val="NoSpacing"/>
              <w:jc w:val="center"/>
            </w:pPr>
            <w:r>
              <w:t>(Intermediate 2)</w:t>
            </w:r>
          </w:p>
          <w:p w:rsidR="004B2D1C" w:rsidRDefault="004B2D1C" w:rsidP="0051270B">
            <w:pPr>
              <w:pStyle w:val="NoSpacing"/>
              <w:jc w:val="center"/>
            </w:pPr>
            <w:r>
              <w:t>Skills for Work National 5</w:t>
            </w:r>
          </w:p>
          <w:p w:rsidR="004B2D1C" w:rsidRDefault="004B2D1C" w:rsidP="0051270B">
            <w:pPr>
              <w:pStyle w:val="NoSpacing"/>
              <w:jc w:val="center"/>
            </w:pPr>
            <w:r>
              <w:t>(Credit Standard Grade)</w:t>
            </w:r>
          </w:p>
          <w:p w:rsidR="004B2D1C" w:rsidRDefault="004B2D1C" w:rsidP="0051270B">
            <w:pPr>
              <w:pStyle w:val="NoSpacing"/>
              <w:jc w:val="center"/>
            </w:pPr>
          </w:p>
        </w:tc>
        <w:tc>
          <w:tcPr>
            <w:tcW w:w="1559" w:type="dxa"/>
            <w:vMerge/>
          </w:tcPr>
          <w:p w:rsidR="004B2D1C" w:rsidRDefault="004B2D1C" w:rsidP="0051270B">
            <w:pPr>
              <w:jc w:val="center"/>
            </w:pPr>
          </w:p>
        </w:tc>
      </w:tr>
      <w:tr w:rsidR="004B2D1C" w:rsidTr="00A717CA">
        <w:tc>
          <w:tcPr>
            <w:tcW w:w="1129" w:type="dxa"/>
          </w:tcPr>
          <w:p w:rsidR="004B2D1C" w:rsidRDefault="004B2D1C" w:rsidP="0051270B">
            <w:pPr>
              <w:jc w:val="center"/>
            </w:pPr>
            <w:r>
              <w:t>4</w:t>
            </w:r>
          </w:p>
          <w:p w:rsidR="004B2D1C" w:rsidRDefault="004B2D1C" w:rsidP="0051270B">
            <w:pPr>
              <w:jc w:val="center"/>
            </w:pPr>
          </w:p>
        </w:tc>
        <w:tc>
          <w:tcPr>
            <w:tcW w:w="3544" w:type="dxa"/>
          </w:tcPr>
          <w:p w:rsidR="004B2D1C" w:rsidRDefault="004B2D1C" w:rsidP="0051270B">
            <w:pPr>
              <w:pStyle w:val="NoSpacing"/>
              <w:jc w:val="center"/>
            </w:pPr>
            <w:r>
              <w:t>National 4</w:t>
            </w:r>
          </w:p>
          <w:p w:rsidR="004B2D1C" w:rsidRDefault="004B2D1C" w:rsidP="0051270B">
            <w:pPr>
              <w:pStyle w:val="NoSpacing"/>
              <w:jc w:val="center"/>
            </w:pPr>
            <w:r>
              <w:t>(Intermediate 1)</w:t>
            </w:r>
          </w:p>
          <w:p w:rsidR="004B2D1C" w:rsidRDefault="004B2D1C" w:rsidP="0051270B">
            <w:pPr>
              <w:pStyle w:val="NoSpacing"/>
              <w:jc w:val="center"/>
            </w:pPr>
            <w:r>
              <w:t>Skills for Work National 4</w:t>
            </w:r>
          </w:p>
          <w:p w:rsidR="004B2D1C" w:rsidRDefault="004B2D1C" w:rsidP="0051270B">
            <w:pPr>
              <w:pStyle w:val="NoSpacing"/>
              <w:jc w:val="center"/>
            </w:pPr>
            <w:r>
              <w:t>(General Standard Grade)</w:t>
            </w:r>
          </w:p>
          <w:p w:rsidR="004B2D1C" w:rsidRDefault="004B2D1C" w:rsidP="0051270B">
            <w:pPr>
              <w:pStyle w:val="NoSpacing"/>
              <w:jc w:val="center"/>
            </w:pPr>
          </w:p>
        </w:tc>
        <w:tc>
          <w:tcPr>
            <w:tcW w:w="1559" w:type="dxa"/>
            <w:vMerge w:val="restart"/>
          </w:tcPr>
          <w:p w:rsidR="004B2D1C" w:rsidRDefault="004B2D1C" w:rsidP="0051270B">
            <w:pPr>
              <w:jc w:val="center"/>
            </w:pPr>
          </w:p>
          <w:p w:rsidR="004B2D1C" w:rsidRDefault="004B2D1C" w:rsidP="0051270B">
            <w:pPr>
              <w:jc w:val="center"/>
            </w:pPr>
          </w:p>
          <w:p w:rsidR="004B2D1C" w:rsidRDefault="004B2D1C" w:rsidP="0051270B">
            <w:pPr>
              <w:jc w:val="center"/>
            </w:pPr>
          </w:p>
          <w:p w:rsidR="004B2D1C" w:rsidRDefault="004B2D1C" w:rsidP="0051270B">
            <w:pPr>
              <w:jc w:val="center"/>
            </w:pPr>
            <w:r>
              <w:t>Level 2</w:t>
            </w:r>
          </w:p>
        </w:tc>
      </w:tr>
      <w:tr w:rsidR="004B2D1C" w:rsidTr="00A717CA">
        <w:tc>
          <w:tcPr>
            <w:tcW w:w="1129" w:type="dxa"/>
          </w:tcPr>
          <w:p w:rsidR="004B2D1C" w:rsidRDefault="004B2D1C" w:rsidP="0051270B">
            <w:pPr>
              <w:jc w:val="center"/>
            </w:pPr>
            <w:r>
              <w:lastRenderedPageBreak/>
              <w:t>3</w:t>
            </w:r>
          </w:p>
          <w:p w:rsidR="004B2D1C" w:rsidRDefault="004B2D1C" w:rsidP="0051270B">
            <w:pPr>
              <w:jc w:val="center"/>
            </w:pPr>
          </w:p>
        </w:tc>
        <w:tc>
          <w:tcPr>
            <w:tcW w:w="3544" w:type="dxa"/>
          </w:tcPr>
          <w:p w:rsidR="004B2D1C" w:rsidRDefault="004B2D1C" w:rsidP="0051270B">
            <w:pPr>
              <w:pStyle w:val="NoSpacing"/>
              <w:jc w:val="center"/>
            </w:pPr>
            <w:r>
              <w:t>National 3</w:t>
            </w:r>
          </w:p>
          <w:p w:rsidR="004B2D1C" w:rsidRDefault="004B2D1C" w:rsidP="0051270B">
            <w:pPr>
              <w:pStyle w:val="NoSpacing"/>
              <w:jc w:val="center"/>
            </w:pPr>
            <w:r>
              <w:t>Access 3</w:t>
            </w:r>
          </w:p>
          <w:p w:rsidR="004B2D1C" w:rsidRDefault="004B2D1C" w:rsidP="0051270B">
            <w:pPr>
              <w:pStyle w:val="NoSpacing"/>
              <w:jc w:val="center"/>
            </w:pPr>
            <w:r>
              <w:t>Skills for Work National 3</w:t>
            </w:r>
          </w:p>
          <w:p w:rsidR="004B2D1C" w:rsidRDefault="004B2D1C" w:rsidP="0051270B">
            <w:pPr>
              <w:pStyle w:val="NoSpacing"/>
              <w:jc w:val="center"/>
            </w:pPr>
            <w:r>
              <w:t>(Foundation Standard Grade)</w:t>
            </w:r>
          </w:p>
          <w:p w:rsidR="004B2D1C" w:rsidRDefault="004B2D1C" w:rsidP="0051270B">
            <w:pPr>
              <w:pStyle w:val="NoSpacing"/>
              <w:jc w:val="center"/>
            </w:pPr>
          </w:p>
        </w:tc>
        <w:tc>
          <w:tcPr>
            <w:tcW w:w="1559" w:type="dxa"/>
            <w:vMerge/>
          </w:tcPr>
          <w:p w:rsidR="004B2D1C" w:rsidRDefault="004B2D1C" w:rsidP="0051270B">
            <w:pPr>
              <w:jc w:val="center"/>
            </w:pPr>
          </w:p>
        </w:tc>
      </w:tr>
      <w:tr w:rsidR="004B2D1C" w:rsidTr="00A717CA">
        <w:tc>
          <w:tcPr>
            <w:tcW w:w="1129" w:type="dxa"/>
          </w:tcPr>
          <w:p w:rsidR="004B2D1C" w:rsidRDefault="004B2D1C" w:rsidP="0051270B">
            <w:pPr>
              <w:jc w:val="center"/>
            </w:pPr>
            <w:r>
              <w:lastRenderedPageBreak/>
              <w:t>2</w:t>
            </w:r>
          </w:p>
        </w:tc>
        <w:tc>
          <w:tcPr>
            <w:tcW w:w="3544" w:type="dxa"/>
          </w:tcPr>
          <w:p w:rsidR="004B2D1C" w:rsidRPr="004B2D1C" w:rsidRDefault="004B2D1C" w:rsidP="0051270B">
            <w:pPr>
              <w:pStyle w:val="NoSpacing"/>
              <w:jc w:val="center"/>
            </w:pPr>
          </w:p>
          <w:p w:rsidR="004B2D1C" w:rsidRPr="004B2D1C" w:rsidRDefault="004B2D1C" w:rsidP="0051270B">
            <w:pPr>
              <w:pStyle w:val="NoSpacing"/>
              <w:jc w:val="center"/>
            </w:pPr>
            <w:r w:rsidRPr="004B2D1C">
              <w:t>National 2</w:t>
            </w:r>
          </w:p>
          <w:p w:rsidR="004B2D1C" w:rsidRDefault="004B2D1C" w:rsidP="0051270B">
            <w:pPr>
              <w:pStyle w:val="NoSpacing"/>
              <w:jc w:val="center"/>
            </w:pPr>
            <w:r w:rsidRPr="004B2D1C">
              <w:t>Access 2</w:t>
            </w:r>
          </w:p>
          <w:p w:rsidR="004B2D1C" w:rsidRPr="004B2D1C" w:rsidRDefault="004B2D1C" w:rsidP="0051270B">
            <w:pPr>
              <w:pStyle w:val="NoSpacing"/>
              <w:jc w:val="center"/>
            </w:pPr>
          </w:p>
        </w:tc>
        <w:tc>
          <w:tcPr>
            <w:tcW w:w="1559" w:type="dxa"/>
            <w:vMerge/>
          </w:tcPr>
          <w:p w:rsidR="004B2D1C" w:rsidRDefault="004B2D1C" w:rsidP="0051270B">
            <w:pPr>
              <w:jc w:val="center"/>
            </w:pPr>
          </w:p>
        </w:tc>
      </w:tr>
      <w:tr w:rsidR="004B2D1C" w:rsidTr="00A717CA">
        <w:tc>
          <w:tcPr>
            <w:tcW w:w="1129" w:type="dxa"/>
          </w:tcPr>
          <w:p w:rsidR="004B2D1C" w:rsidRDefault="004B2D1C" w:rsidP="0051270B">
            <w:pPr>
              <w:jc w:val="center"/>
            </w:pPr>
            <w:r>
              <w:t>1</w:t>
            </w:r>
          </w:p>
        </w:tc>
        <w:tc>
          <w:tcPr>
            <w:tcW w:w="3544" w:type="dxa"/>
          </w:tcPr>
          <w:p w:rsidR="004B2D1C" w:rsidRPr="004B2D1C" w:rsidRDefault="004B2D1C" w:rsidP="0051270B">
            <w:pPr>
              <w:pStyle w:val="NoSpacing"/>
              <w:jc w:val="center"/>
            </w:pPr>
          </w:p>
          <w:p w:rsidR="004B2D1C" w:rsidRPr="004B2D1C" w:rsidRDefault="004B2D1C" w:rsidP="0051270B">
            <w:pPr>
              <w:pStyle w:val="NoSpacing"/>
              <w:jc w:val="center"/>
            </w:pPr>
            <w:r w:rsidRPr="004B2D1C">
              <w:t>National 1</w:t>
            </w:r>
          </w:p>
          <w:p w:rsidR="004B2D1C" w:rsidRDefault="004B2D1C" w:rsidP="0051270B">
            <w:pPr>
              <w:pStyle w:val="NoSpacing"/>
              <w:jc w:val="center"/>
            </w:pPr>
            <w:r w:rsidRPr="004B2D1C">
              <w:t>Access 1</w:t>
            </w:r>
          </w:p>
          <w:p w:rsidR="004B2D1C" w:rsidRPr="004B2D1C" w:rsidRDefault="004B2D1C" w:rsidP="0051270B">
            <w:pPr>
              <w:pStyle w:val="NoSpacing"/>
              <w:jc w:val="center"/>
            </w:pPr>
          </w:p>
        </w:tc>
        <w:tc>
          <w:tcPr>
            <w:tcW w:w="1559" w:type="dxa"/>
            <w:vMerge/>
          </w:tcPr>
          <w:p w:rsidR="004B2D1C" w:rsidRDefault="004B2D1C" w:rsidP="0051270B">
            <w:pPr>
              <w:jc w:val="center"/>
            </w:pPr>
          </w:p>
        </w:tc>
      </w:tr>
    </w:tbl>
    <w:p w:rsidR="004B2D1C" w:rsidRDefault="004B2D1C" w:rsidP="0051270B">
      <w:pPr>
        <w:jc w:val="center"/>
      </w:pPr>
    </w:p>
    <w:p w:rsidR="004B2D1C" w:rsidRPr="0051270B" w:rsidRDefault="000B418E" w:rsidP="000B418E">
      <w:pPr>
        <w:tabs>
          <w:tab w:val="left" w:pos="357"/>
          <w:tab w:val="left" w:pos="3436"/>
          <w:tab w:val="left" w:pos="5421"/>
          <w:tab w:val="left" w:pos="7547"/>
        </w:tabs>
        <w:spacing w:after="0" w:line="240" w:lineRule="auto"/>
        <w:rPr>
          <w:rFonts w:ascii="Arial" w:hAnsi="Arial" w:cs="Arial"/>
          <w:b/>
          <w:bCs/>
          <w:color w:val="000000"/>
          <w:u w:val="single"/>
          <w:lang w:eastAsia="en-GB"/>
        </w:rPr>
      </w:pPr>
      <w:r w:rsidRPr="0051270B">
        <w:rPr>
          <w:rFonts w:ascii="Arial" w:hAnsi="Arial" w:cs="Arial"/>
          <w:b/>
          <w:bCs/>
          <w:color w:val="000000"/>
          <w:u w:val="single"/>
          <w:lang w:eastAsia="en-GB"/>
        </w:rPr>
        <w:t>Armed Forces Veteran</w:t>
      </w:r>
    </w:p>
    <w:p w:rsidR="004B2D1C" w:rsidRPr="0051270B" w:rsidRDefault="004B2D1C" w:rsidP="004B2D1C">
      <w:pPr>
        <w:pStyle w:val="Default"/>
        <w:rPr>
          <w:i/>
          <w:sz w:val="22"/>
          <w:szCs w:val="22"/>
        </w:rPr>
      </w:pPr>
      <w:r w:rsidRPr="0051270B">
        <w:rPr>
          <w:i/>
          <w:sz w:val="22"/>
          <w:szCs w:val="22"/>
        </w:rPr>
        <w:t xml:space="preserve">Former member of the UK Armed Forces </w:t>
      </w:r>
    </w:p>
    <w:p w:rsidR="000B418E" w:rsidRDefault="000B418E" w:rsidP="0051270B">
      <w:pPr>
        <w:tabs>
          <w:tab w:val="left" w:pos="357"/>
          <w:tab w:val="left" w:pos="3436"/>
          <w:tab w:val="left" w:pos="5421"/>
          <w:tab w:val="left" w:pos="7547"/>
        </w:tabs>
        <w:spacing w:after="0" w:line="240" w:lineRule="auto"/>
        <w:rPr>
          <w:rFonts w:ascii="Verdana" w:hAnsi="Verdana"/>
          <w:sz w:val="20"/>
          <w:szCs w:val="20"/>
        </w:rPr>
      </w:pPr>
      <w:r w:rsidRPr="001F5150">
        <w:rPr>
          <w:rFonts w:ascii="Verdana" w:hAnsi="Verdana"/>
          <w:sz w:val="20"/>
          <w:szCs w:val="20"/>
        </w:rPr>
        <w:t xml:space="preserve"> </w:t>
      </w:r>
    </w:p>
    <w:p w:rsidR="000B418E" w:rsidRPr="0051270B" w:rsidRDefault="000B418E" w:rsidP="001B4350">
      <w:pPr>
        <w:tabs>
          <w:tab w:val="left" w:pos="357"/>
          <w:tab w:val="left" w:pos="3436"/>
          <w:tab w:val="left" w:pos="5421"/>
          <w:tab w:val="left" w:pos="7547"/>
        </w:tabs>
        <w:spacing w:after="0" w:line="240" w:lineRule="auto"/>
        <w:rPr>
          <w:rFonts w:ascii="Arial" w:hAnsi="Arial" w:cs="Arial"/>
          <w:b/>
          <w:bCs/>
          <w:color w:val="000000"/>
          <w:u w:val="single"/>
          <w:lang w:eastAsia="en-GB"/>
        </w:rPr>
      </w:pPr>
      <w:r w:rsidRPr="0051270B">
        <w:rPr>
          <w:rFonts w:ascii="Arial" w:hAnsi="Arial" w:cs="Arial"/>
          <w:b/>
          <w:bCs/>
          <w:color w:val="000000"/>
          <w:u w:val="single"/>
          <w:lang w:eastAsia="en-GB"/>
        </w:rPr>
        <w:t>From Employment Deprived Areas</w:t>
      </w:r>
    </w:p>
    <w:p w:rsidR="001B4350" w:rsidRPr="0051270B" w:rsidRDefault="001B4350" w:rsidP="001B4350">
      <w:pPr>
        <w:pStyle w:val="Default"/>
        <w:rPr>
          <w:i/>
          <w:sz w:val="22"/>
          <w:szCs w:val="22"/>
        </w:rPr>
      </w:pPr>
      <w:r w:rsidRPr="0051270B">
        <w:rPr>
          <w:i/>
          <w:sz w:val="22"/>
          <w:szCs w:val="22"/>
        </w:rPr>
        <w:t xml:space="preserve">Residing in SIMD 15% most </w:t>
      </w:r>
      <w:r w:rsidRPr="0051270B">
        <w:rPr>
          <w:i/>
          <w:sz w:val="22"/>
          <w:szCs w:val="22"/>
        </w:rPr>
        <w:t>employment deprived geographies.</w:t>
      </w:r>
    </w:p>
    <w:p w:rsidR="000B418E" w:rsidRPr="004C297B" w:rsidRDefault="000B418E" w:rsidP="004C297B">
      <w:pPr>
        <w:pStyle w:val="Default"/>
        <w:rPr>
          <w:sz w:val="22"/>
          <w:szCs w:val="22"/>
        </w:rPr>
      </w:pPr>
    </w:p>
    <w:sectPr w:rsidR="000B418E" w:rsidRPr="004C297B" w:rsidSect="0051270B">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4F"/>
    <w:rsid w:val="00080578"/>
    <w:rsid w:val="000B418E"/>
    <w:rsid w:val="001B4350"/>
    <w:rsid w:val="004B2D1C"/>
    <w:rsid w:val="004C297B"/>
    <w:rsid w:val="0051270B"/>
    <w:rsid w:val="00790301"/>
    <w:rsid w:val="007B0ADA"/>
    <w:rsid w:val="00893E31"/>
    <w:rsid w:val="00DE3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9E40BD-458C-49EC-B85B-7FAB3C15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54F"/>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54F"/>
    <w:rPr>
      <w:rFonts w:ascii="Calibri" w:hAnsi="Calibri"/>
      <w:sz w:val="22"/>
      <w:szCs w:val="22"/>
      <w:lang w:eastAsia="en-US"/>
    </w:rPr>
  </w:style>
  <w:style w:type="paragraph" w:customStyle="1" w:styleId="Default">
    <w:name w:val="Default"/>
    <w:rsid w:val="00DE354F"/>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4B2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ABC3A8D6</Template>
  <TotalTime>97</TotalTime>
  <Pages>4</Pages>
  <Words>1146</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Action for Children</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Rimkus</dc:creator>
  <cp:keywords/>
  <dc:description/>
  <cp:lastModifiedBy>Evelyn Rimkus</cp:lastModifiedBy>
  <cp:revision>4</cp:revision>
  <dcterms:created xsi:type="dcterms:W3CDTF">2016-08-29T12:50:00Z</dcterms:created>
  <dcterms:modified xsi:type="dcterms:W3CDTF">2016-08-29T14:42:00Z</dcterms:modified>
</cp:coreProperties>
</file>